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23" w:rsidRDefault="00842323" w:rsidP="00842323">
      <w:pPr>
        <w:spacing w:after="0" w:line="240" w:lineRule="auto"/>
        <w:rPr>
          <w:rFonts w:asciiTheme="minorHAnsi" w:eastAsia="Times New Roman" w:hAnsiTheme="minorHAnsi" w:cs="Helvetica"/>
          <w:color w:val="EA981A"/>
          <w:sz w:val="22"/>
          <w:szCs w:val="22"/>
          <w:bdr w:val="single" w:sz="6" w:space="4" w:color="000000" w:frame="1"/>
        </w:rPr>
      </w:pPr>
      <w:r>
        <w:rPr>
          <w:rFonts w:asciiTheme="minorHAnsi" w:eastAsia="Times New Roman" w:hAnsiTheme="minorHAnsi" w:cs="Helvetica"/>
          <w:color w:val="EA981A"/>
          <w:sz w:val="22"/>
          <w:szCs w:val="22"/>
          <w:bdr w:val="single" w:sz="6" w:space="4" w:color="000000" w:frame="1"/>
        </w:rPr>
        <w:t>DCC 205 Equity Transactions</w:t>
      </w:r>
      <w:r w:rsidR="00017EA2">
        <w:rPr>
          <w:rFonts w:asciiTheme="minorHAnsi" w:eastAsia="Times New Roman" w:hAnsiTheme="minorHAnsi" w:cs="Helvetica"/>
          <w:color w:val="EA981A"/>
          <w:sz w:val="22"/>
          <w:szCs w:val="22"/>
          <w:bdr w:val="single" w:sz="6" w:space="4" w:color="000000" w:frame="1"/>
        </w:rPr>
        <w:t xml:space="preserve"> </w:t>
      </w:r>
      <w:proofErr w:type="gramStart"/>
      <w:r w:rsidR="00017EA2">
        <w:rPr>
          <w:rFonts w:asciiTheme="minorHAnsi" w:eastAsia="Times New Roman" w:hAnsiTheme="minorHAnsi" w:cs="Helvetica"/>
          <w:color w:val="EA981A"/>
          <w:sz w:val="22"/>
          <w:szCs w:val="22"/>
          <w:bdr w:val="single" w:sz="6" w:space="4" w:color="000000" w:frame="1"/>
        </w:rPr>
        <w:t>In</w:t>
      </w:r>
      <w:proofErr w:type="gramEnd"/>
      <w:r w:rsidR="00017EA2">
        <w:rPr>
          <w:rFonts w:asciiTheme="minorHAnsi" w:eastAsia="Times New Roman" w:hAnsiTheme="minorHAnsi" w:cs="Helvetica"/>
          <w:color w:val="EA981A"/>
          <w:sz w:val="22"/>
          <w:szCs w:val="22"/>
          <w:bdr w:val="single" w:sz="6" w:space="4" w:color="000000" w:frame="1"/>
        </w:rPr>
        <w:t xml:space="preserve"> Class Assignments</w:t>
      </w:r>
      <w:r>
        <w:rPr>
          <w:rFonts w:asciiTheme="minorHAnsi" w:eastAsia="Times New Roman" w:hAnsiTheme="minorHAnsi" w:cs="Helvetica"/>
          <w:color w:val="EA981A"/>
          <w:sz w:val="22"/>
          <w:szCs w:val="22"/>
          <w:bdr w:val="single" w:sz="6" w:space="4" w:color="000000" w:frame="1"/>
        </w:rPr>
        <w:t xml:space="preserve"> Student Version Wild 8e</w:t>
      </w:r>
    </w:p>
    <w:p w:rsidR="00842323" w:rsidRDefault="00842323" w:rsidP="00842323">
      <w:pPr>
        <w:spacing w:after="0" w:line="240" w:lineRule="auto"/>
        <w:rPr>
          <w:rFonts w:asciiTheme="minorHAnsi" w:eastAsia="Times New Roman" w:hAnsiTheme="minorHAnsi" w:cs="Helvetica"/>
          <w:color w:val="EA981A"/>
          <w:sz w:val="22"/>
          <w:szCs w:val="22"/>
          <w:bdr w:val="single" w:sz="6" w:space="4" w:color="000000" w:frame="1"/>
        </w:rPr>
      </w:pP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t>QS 11-5</w:t>
      </w: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Issuance of common stock </w:t>
      </w:r>
      <w:r w:rsidRPr="00842323">
        <w:rPr>
          <w:rFonts w:asciiTheme="minorHAnsi" w:eastAsia="Times New Roman" w:hAnsiTheme="minorHAnsi" w:cs="Helvetica"/>
          <w:bCs/>
          <w:color w:val="00AB6C"/>
          <w:sz w:val="22"/>
          <w:szCs w:val="22"/>
        </w:rPr>
        <w:t>P1</w:t>
      </w:r>
    </w:p>
    <w:p w:rsidR="00842323" w:rsidRP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Prepare the issuer's journal entry for each of the following separate transactions.</w:t>
      </w:r>
    </w:p>
    <w:p w:rsidR="00842323" w:rsidRPr="00842323" w:rsidRDefault="00842323" w:rsidP="00842323">
      <w:pPr>
        <w:numPr>
          <w:ilvl w:val="0"/>
          <w:numId w:val="1"/>
        </w:numPr>
        <w:spacing w:after="0" w:line="255" w:lineRule="atLeast"/>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On March 1, Atlantic Co. issues 42,500 shares of $4 par value common stock for $297,500 cash.</w:t>
      </w:r>
    </w:p>
    <w:p w:rsidR="00842323" w:rsidRPr="00842323" w:rsidRDefault="00842323" w:rsidP="00842323">
      <w:pPr>
        <w:numPr>
          <w:ilvl w:val="0"/>
          <w:numId w:val="1"/>
        </w:numPr>
        <w:spacing w:after="0" w:line="255" w:lineRule="atLeast"/>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On April 1, Antigo Company issues no-par value common stock for $70,000 cash.</w:t>
      </w:r>
    </w:p>
    <w:p w:rsidR="00842323" w:rsidRDefault="00842323" w:rsidP="00842323">
      <w:pPr>
        <w:numPr>
          <w:ilvl w:val="0"/>
          <w:numId w:val="1"/>
        </w:numPr>
        <w:spacing w:after="0" w:line="255" w:lineRule="atLeast"/>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On April 6, MPG issues 2,000 shares of $25 par value common stock for $45,000 of inventory, $145,000 of machinery, and acceptance of a $94,000 note payable.</w:t>
      </w:r>
    </w:p>
    <w:p w:rsidR="00B84D51" w:rsidRDefault="00B84D51" w:rsidP="00842323">
      <w:pPr>
        <w:spacing w:after="0" w:line="240" w:lineRule="auto"/>
        <w:rPr>
          <w:rFonts w:asciiTheme="minorHAnsi" w:eastAsia="Times New Roman" w:hAnsiTheme="minorHAnsi" w:cs="Helvetica"/>
          <w:color w:val="EA981A"/>
          <w:sz w:val="22"/>
          <w:szCs w:val="22"/>
          <w:bdr w:val="single" w:sz="6" w:space="4" w:color="000000" w:frame="1"/>
        </w:rPr>
      </w:pP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t>Exercise 11-2</w:t>
      </w: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Accounting for par, stated, and no-par stock issuances </w:t>
      </w:r>
      <w:r w:rsidRPr="00842323">
        <w:rPr>
          <w:rFonts w:asciiTheme="minorHAnsi" w:eastAsia="Times New Roman" w:hAnsiTheme="minorHAnsi" w:cs="Helvetica"/>
          <w:bCs/>
          <w:color w:val="00AB6C"/>
          <w:sz w:val="22"/>
          <w:szCs w:val="22"/>
        </w:rPr>
        <w:t>P1</w:t>
      </w:r>
    </w:p>
    <w:p w:rsidR="00842323" w:rsidRP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Rodriguez Corporation issues 19,000 shares of its common stock for $152,000 cash on February 20. Prepare journal entries to record this event under each of the following separate situations.</w:t>
      </w:r>
    </w:p>
    <w:p w:rsidR="00842323" w:rsidRPr="00842323" w:rsidRDefault="00842323" w:rsidP="00842323">
      <w:pPr>
        <w:numPr>
          <w:ilvl w:val="0"/>
          <w:numId w:val="2"/>
        </w:numPr>
        <w:spacing w:after="0" w:line="255" w:lineRule="atLeast"/>
        <w:ind w:left="450"/>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The stock has a $2 par value.</w:t>
      </w:r>
    </w:p>
    <w:p w:rsidR="00842323" w:rsidRPr="00842323" w:rsidRDefault="00842323" w:rsidP="00842323">
      <w:pPr>
        <w:numPr>
          <w:ilvl w:val="0"/>
          <w:numId w:val="2"/>
        </w:numPr>
        <w:spacing w:after="0" w:line="255" w:lineRule="atLeast"/>
        <w:ind w:left="450"/>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The stock has neither par nor stated value.</w:t>
      </w:r>
    </w:p>
    <w:p w:rsidR="00842323" w:rsidRDefault="00842323" w:rsidP="00842323">
      <w:pPr>
        <w:numPr>
          <w:ilvl w:val="0"/>
          <w:numId w:val="2"/>
        </w:numPr>
        <w:spacing w:after="0" w:line="255" w:lineRule="atLeast"/>
        <w:ind w:left="450"/>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The stock has a $5 stated value.</w:t>
      </w:r>
    </w:p>
    <w:p w:rsidR="005B03DA" w:rsidRDefault="005B03DA" w:rsidP="005B03DA">
      <w:pPr>
        <w:spacing w:after="0" w:line="255" w:lineRule="atLeast"/>
        <w:rPr>
          <w:rFonts w:asciiTheme="minorHAnsi" w:eastAsia="Times New Roman" w:hAnsiTheme="minorHAnsi" w:cs="Helvetica"/>
          <w:bCs/>
          <w:color w:val="333333"/>
          <w:sz w:val="22"/>
          <w:szCs w:val="22"/>
        </w:rPr>
      </w:pP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t>Exercise 11-3</w:t>
      </w: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Recording stock issuances </w:t>
      </w:r>
      <w:r w:rsidRPr="00842323">
        <w:rPr>
          <w:rFonts w:asciiTheme="minorHAnsi" w:eastAsia="Times New Roman" w:hAnsiTheme="minorHAnsi" w:cs="Helvetica"/>
          <w:bCs/>
          <w:color w:val="00AB6C"/>
          <w:sz w:val="22"/>
          <w:szCs w:val="22"/>
        </w:rPr>
        <w:t>P1</w:t>
      </w:r>
    </w:p>
    <w:p w:rsidR="00842323" w:rsidRP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Prepare journal entries to record the following four separate issuances of stock.</w:t>
      </w:r>
    </w:p>
    <w:p w:rsidR="00842323" w:rsidRPr="00842323" w:rsidRDefault="00842323" w:rsidP="00842323">
      <w:pPr>
        <w:numPr>
          <w:ilvl w:val="0"/>
          <w:numId w:val="3"/>
        </w:numPr>
        <w:spacing w:after="0" w:line="255" w:lineRule="atLeast"/>
        <w:ind w:left="450"/>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A corporation issued 4,000 shares of $5 par value common stock for $35,000 cash.</w:t>
      </w:r>
    </w:p>
    <w:p w:rsidR="00842323" w:rsidRPr="00842323" w:rsidRDefault="00842323" w:rsidP="00842323">
      <w:pPr>
        <w:numPr>
          <w:ilvl w:val="0"/>
          <w:numId w:val="3"/>
        </w:numPr>
        <w:spacing w:after="0" w:line="255" w:lineRule="atLeast"/>
        <w:ind w:left="450"/>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A corporation issued 2,000 shares of no-par common stock to its promoters in exchange for their efforts, estimated to be worth $40,000. The stock has a $1 per share stated value.</w:t>
      </w:r>
    </w:p>
    <w:p w:rsidR="00842323" w:rsidRPr="00842323" w:rsidRDefault="00842323" w:rsidP="00842323">
      <w:pPr>
        <w:numPr>
          <w:ilvl w:val="0"/>
          <w:numId w:val="3"/>
        </w:numPr>
        <w:spacing w:after="0" w:line="255" w:lineRule="atLeast"/>
        <w:ind w:left="450"/>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A corporation issued 2,000 shares of no-par common stock to its promoters in exchange for their efforts, estimated to be worth $40,000. The stock has no stated value.</w:t>
      </w:r>
    </w:p>
    <w:p w:rsidR="00842323" w:rsidRPr="00842323" w:rsidRDefault="00842323" w:rsidP="00842323">
      <w:pPr>
        <w:numPr>
          <w:ilvl w:val="0"/>
          <w:numId w:val="3"/>
        </w:numPr>
        <w:spacing w:after="0" w:line="255" w:lineRule="atLeast"/>
        <w:ind w:left="450"/>
        <w:rPr>
          <w:rFonts w:asciiTheme="minorHAnsi" w:eastAsia="Times New Roman" w:hAnsiTheme="minorHAnsi" w:cs="Helvetica"/>
          <w:bCs/>
          <w:color w:val="333333"/>
          <w:sz w:val="22"/>
          <w:szCs w:val="22"/>
        </w:rPr>
      </w:pPr>
      <w:r w:rsidRPr="00842323">
        <w:rPr>
          <w:rFonts w:asciiTheme="minorHAnsi" w:eastAsia="Times New Roman" w:hAnsiTheme="minorHAnsi" w:cs="Helvetica"/>
          <w:bCs/>
          <w:color w:val="333333"/>
          <w:sz w:val="22"/>
          <w:szCs w:val="22"/>
        </w:rPr>
        <w:t>A corporation issued 1,000 shares of $50 par value preferred stock for $60,000 cash.</w:t>
      </w:r>
    </w:p>
    <w:p w:rsidR="00842323" w:rsidRDefault="00842323" w:rsidP="00842323">
      <w:pPr>
        <w:spacing w:after="0" w:line="240" w:lineRule="auto"/>
        <w:rPr>
          <w:rFonts w:asciiTheme="minorHAnsi" w:eastAsia="Times New Roman" w:hAnsiTheme="minorHAnsi" w:cs="Helvetica"/>
          <w:color w:val="EA981A"/>
          <w:sz w:val="22"/>
          <w:szCs w:val="22"/>
          <w:bdr w:val="single" w:sz="6" w:space="4" w:color="000000" w:frame="1"/>
        </w:rPr>
      </w:pP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t>QS 11-11</w:t>
      </w: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Purchase and sale of treasury stock </w:t>
      </w:r>
      <w:r w:rsidRPr="00842323">
        <w:rPr>
          <w:rFonts w:asciiTheme="minorHAnsi" w:eastAsia="Times New Roman" w:hAnsiTheme="minorHAnsi" w:cs="Helvetica"/>
          <w:bCs/>
          <w:color w:val="00AB6C"/>
          <w:sz w:val="22"/>
          <w:szCs w:val="22"/>
        </w:rPr>
        <w:t>P3</w:t>
      </w:r>
    </w:p>
    <w:p w:rsidR="00842323" w:rsidRP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 xml:space="preserve">On May 3, </w:t>
      </w:r>
      <w:proofErr w:type="spellStart"/>
      <w:r w:rsidRPr="00842323">
        <w:rPr>
          <w:rFonts w:asciiTheme="minorHAnsi" w:eastAsia="Times New Roman" w:hAnsiTheme="minorHAnsi" w:cs="Helvetica"/>
          <w:color w:val="333333"/>
          <w:sz w:val="22"/>
          <w:szCs w:val="22"/>
        </w:rPr>
        <w:t>Zirbal</w:t>
      </w:r>
      <w:proofErr w:type="spellEnd"/>
      <w:r w:rsidRPr="00842323">
        <w:rPr>
          <w:rFonts w:asciiTheme="minorHAnsi" w:eastAsia="Times New Roman" w:hAnsiTheme="minorHAnsi" w:cs="Helvetica"/>
          <w:color w:val="333333"/>
          <w:sz w:val="22"/>
          <w:szCs w:val="22"/>
        </w:rPr>
        <w:t xml:space="preserve"> Corporation purchased 4,000 shares of its own stock for $36,000 cash. On November 4, </w:t>
      </w:r>
      <w:proofErr w:type="spellStart"/>
      <w:r w:rsidRPr="00842323">
        <w:rPr>
          <w:rFonts w:asciiTheme="minorHAnsi" w:eastAsia="Times New Roman" w:hAnsiTheme="minorHAnsi" w:cs="Helvetica"/>
          <w:color w:val="333333"/>
          <w:sz w:val="22"/>
          <w:szCs w:val="22"/>
        </w:rPr>
        <w:t>Zirbal</w:t>
      </w:r>
      <w:proofErr w:type="spellEnd"/>
      <w:r w:rsidRPr="00842323">
        <w:rPr>
          <w:rFonts w:asciiTheme="minorHAnsi" w:eastAsia="Times New Roman" w:hAnsiTheme="minorHAnsi" w:cs="Helvetica"/>
          <w:color w:val="333333"/>
          <w:sz w:val="22"/>
          <w:szCs w:val="22"/>
        </w:rPr>
        <w:t xml:space="preserve"> reissued 850 shares of this treasury stock for $8,500. Prepare the May 3 and November 4 journal entries to record </w:t>
      </w:r>
      <w:proofErr w:type="spellStart"/>
      <w:r w:rsidRPr="00842323">
        <w:rPr>
          <w:rFonts w:asciiTheme="minorHAnsi" w:eastAsia="Times New Roman" w:hAnsiTheme="minorHAnsi" w:cs="Helvetica"/>
          <w:color w:val="333333"/>
          <w:sz w:val="22"/>
          <w:szCs w:val="22"/>
        </w:rPr>
        <w:t>Zirbal's</w:t>
      </w:r>
      <w:proofErr w:type="spellEnd"/>
      <w:r w:rsidRPr="00842323">
        <w:rPr>
          <w:rFonts w:asciiTheme="minorHAnsi" w:eastAsia="Times New Roman" w:hAnsiTheme="minorHAnsi" w:cs="Helvetica"/>
          <w:color w:val="333333"/>
          <w:sz w:val="22"/>
          <w:szCs w:val="22"/>
        </w:rPr>
        <w:t xml:space="preserve"> purchase and reissuance of treasury stock.</w:t>
      </w:r>
    </w:p>
    <w:p w:rsidR="00B84D51" w:rsidRDefault="00B84D51" w:rsidP="005B03DA">
      <w:pPr>
        <w:spacing w:after="0" w:line="240" w:lineRule="auto"/>
        <w:rPr>
          <w:rFonts w:asciiTheme="minorHAnsi" w:eastAsia="Times New Roman" w:hAnsiTheme="minorHAnsi" w:cs="Helvetica"/>
          <w:color w:val="EA981A"/>
          <w:sz w:val="22"/>
          <w:szCs w:val="22"/>
          <w:bdr w:val="single" w:sz="6" w:space="4" w:color="000000" w:frame="1"/>
        </w:rPr>
      </w:pPr>
    </w:p>
    <w:p w:rsidR="00B84D51" w:rsidRDefault="00B84D51">
      <w:pPr>
        <w:rPr>
          <w:rFonts w:asciiTheme="minorHAnsi" w:eastAsia="Times New Roman" w:hAnsiTheme="minorHAnsi" w:cs="Helvetica"/>
          <w:color w:val="EA981A"/>
          <w:sz w:val="22"/>
          <w:szCs w:val="22"/>
          <w:bdr w:val="single" w:sz="6" w:space="4" w:color="000000" w:frame="1"/>
        </w:rPr>
      </w:pPr>
      <w:r>
        <w:rPr>
          <w:rFonts w:asciiTheme="minorHAnsi" w:eastAsia="Times New Roman" w:hAnsiTheme="minorHAnsi" w:cs="Helvetica"/>
          <w:color w:val="EA981A"/>
          <w:sz w:val="22"/>
          <w:szCs w:val="22"/>
          <w:bdr w:val="single" w:sz="6" w:space="4" w:color="000000" w:frame="1"/>
        </w:rPr>
        <w:br w:type="page"/>
      </w:r>
    </w:p>
    <w:p w:rsidR="005B03DA" w:rsidRPr="00842323" w:rsidRDefault="005B03DA" w:rsidP="005B03DA">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lastRenderedPageBreak/>
        <w:t>QS 11-6</w:t>
      </w:r>
    </w:p>
    <w:p w:rsidR="005B03DA" w:rsidRPr="00842323" w:rsidRDefault="005B03DA" w:rsidP="005B03DA">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Accounting for cash dividends </w:t>
      </w:r>
      <w:r w:rsidRPr="00842323">
        <w:rPr>
          <w:rFonts w:asciiTheme="minorHAnsi" w:eastAsia="Times New Roman" w:hAnsiTheme="minorHAnsi" w:cs="Helvetica"/>
          <w:bCs/>
          <w:color w:val="00AB6C"/>
          <w:sz w:val="22"/>
          <w:szCs w:val="22"/>
        </w:rPr>
        <w:t>P2</w:t>
      </w:r>
    </w:p>
    <w:p w:rsidR="005B03DA" w:rsidRPr="00842323" w:rsidRDefault="005B03DA" w:rsidP="005B03DA">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Prepare journal entries to record the following transactions for Emerson Corporation.</w:t>
      </w:r>
    </w:p>
    <w:tbl>
      <w:tblPr>
        <w:tblW w:w="0" w:type="auto"/>
        <w:tblCellSpacing w:w="0" w:type="dxa"/>
        <w:tblCellMar>
          <w:left w:w="0" w:type="dxa"/>
          <w:right w:w="0" w:type="dxa"/>
        </w:tblCellMar>
        <w:tblLook w:val="04A0" w:firstRow="1" w:lastRow="0" w:firstColumn="1" w:lastColumn="0" w:noHBand="0" w:noVBand="1"/>
      </w:tblPr>
      <w:tblGrid>
        <w:gridCol w:w="582"/>
        <w:gridCol w:w="404"/>
        <w:gridCol w:w="6597"/>
      </w:tblGrid>
      <w:tr w:rsidR="005B03DA" w:rsidRPr="00842323" w:rsidTr="003C3FCA">
        <w:trPr>
          <w:tblCellSpacing w:w="0" w:type="dxa"/>
        </w:trPr>
        <w:tc>
          <w:tcPr>
            <w:tcW w:w="0" w:type="auto"/>
            <w:tcMar>
              <w:top w:w="15" w:type="dxa"/>
              <w:left w:w="90" w:type="dxa"/>
              <w:bottom w:w="15" w:type="dxa"/>
              <w:right w:w="90" w:type="dxa"/>
            </w:tcMar>
            <w:hideMark/>
          </w:tcPr>
          <w:p w:rsidR="005B03DA" w:rsidRPr="00842323" w:rsidRDefault="005B03DA" w:rsidP="003C3FCA">
            <w:pPr>
              <w:spacing w:after="0" w:line="240" w:lineRule="auto"/>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July</w:t>
            </w:r>
          </w:p>
        </w:tc>
        <w:tc>
          <w:tcPr>
            <w:tcW w:w="0" w:type="auto"/>
            <w:tcMar>
              <w:top w:w="15" w:type="dxa"/>
              <w:left w:w="90" w:type="dxa"/>
              <w:bottom w:w="15" w:type="dxa"/>
              <w:right w:w="90" w:type="dxa"/>
            </w:tcMar>
            <w:hideMark/>
          </w:tcPr>
          <w:p w:rsidR="005B03DA" w:rsidRPr="00842323" w:rsidRDefault="005B03DA" w:rsidP="003C3FCA">
            <w:pPr>
              <w:spacing w:after="0" w:line="240" w:lineRule="auto"/>
              <w:jc w:val="right"/>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15</w:t>
            </w:r>
          </w:p>
        </w:tc>
        <w:tc>
          <w:tcPr>
            <w:tcW w:w="0" w:type="auto"/>
            <w:tcMar>
              <w:top w:w="15" w:type="dxa"/>
              <w:left w:w="90" w:type="dxa"/>
              <w:bottom w:w="15" w:type="dxa"/>
              <w:right w:w="90" w:type="dxa"/>
            </w:tcMar>
            <w:hideMark/>
          </w:tcPr>
          <w:p w:rsidR="005B03DA" w:rsidRPr="00842323" w:rsidRDefault="005B03DA" w:rsidP="003C3FCA">
            <w:pPr>
              <w:spacing w:after="0" w:line="240" w:lineRule="auto"/>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Declared a cash dividend payable to common stockholders of $165,000.</w:t>
            </w:r>
          </w:p>
        </w:tc>
      </w:tr>
      <w:tr w:rsidR="005B03DA" w:rsidRPr="00842323" w:rsidTr="003C3FCA">
        <w:trPr>
          <w:tblCellSpacing w:w="0" w:type="dxa"/>
        </w:trPr>
        <w:tc>
          <w:tcPr>
            <w:tcW w:w="0" w:type="auto"/>
            <w:tcMar>
              <w:top w:w="15" w:type="dxa"/>
              <w:left w:w="90" w:type="dxa"/>
              <w:bottom w:w="15" w:type="dxa"/>
              <w:right w:w="90" w:type="dxa"/>
            </w:tcMar>
            <w:hideMark/>
          </w:tcPr>
          <w:p w:rsidR="005B03DA" w:rsidRPr="00842323" w:rsidRDefault="005B03DA" w:rsidP="003C3FCA">
            <w:pPr>
              <w:spacing w:after="0" w:line="240" w:lineRule="auto"/>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Aug.</w:t>
            </w:r>
          </w:p>
        </w:tc>
        <w:tc>
          <w:tcPr>
            <w:tcW w:w="0" w:type="auto"/>
            <w:tcMar>
              <w:top w:w="15" w:type="dxa"/>
              <w:left w:w="90" w:type="dxa"/>
              <w:bottom w:w="15" w:type="dxa"/>
              <w:right w:w="90" w:type="dxa"/>
            </w:tcMar>
            <w:hideMark/>
          </w:tcPr>
          <w:p w:rsidR="005B03DA" w:rsidRPr="00842323" w:rsidRDefault="005B03DA" w:rsidP="003C3FCA">
            <w:pPr>
              <w:spacing w:after="0" w:line="240" w:lineRule="auto"/>
              <w:jc w:val="right"/>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15</w:t>
            </w:r>
          </w:p>
        </w:tc>
        <w:tc>
          <w:tcPr>
            <w:tcW w:w="0" w:type="auto"/>
            <w:tcMar>
              <w:top w:w="15" w:type="dxa"/>
              <w:left w:w="90" w:type="dxa"/>
              <w:bottom w:w="15" w:type="dxa"/>
              <w:right w:w="90" w:type="dxa"/>
            </w:tcMar>
            <w:hideMark/>
          </w:tcPr>
          <w:p w:rsidR="005B03DA" w:rsidRPr="00842323" w:rsidRDefault="005B03DA" w:rsidP="003C3FCA">
            <w:pPr>
              <w:spacing w:after="0" w:line="240" w:lineRule="auto"/>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Date of record is August 15 for the cash dividend declared on July 15.</w:t>
            </w:r>
          </w:p>
        </w:tc>
      </w:tr>
      <w:tr w:rsidR="005B03DA" w:rsidRPr="00842323" w:rsidTr="003C3FCA">
        <w:trPr>
          <w:tblCellSpacing w:w="0" w:type="dxa"/>
        </w:trPr>
        <w:tc>
          <w:tcPr>
            <w:tcW w:w="0" w:type="auto"/>
            <w:tcMar>
              <w:top w:w="15" w:type="dxa"/>
              <w:left w:w="90" w:type="dxa"/>
              <w:bottom w:w="15" w:type="dxa"/>
              <w:right w:w="90" w:type="dxa"/>
            </w:tcMar>
            <w:hideMark/>
          </w:tcPr>
          <w:p w:rsidR="005B03DA" w:rsidRPr="00842323" w:rsidRDefault="005B03DA" w:rsidP="003C3FCA">
            <w:pPr>
              <w:spacing w:after="0" w:line="240" w:lineRule="auto"/>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Aug.</w:t>
            </w:r>
          </w:p>
        </w:tc>
        <w:tc>
          <w:tcPr>
            <w:tcW w:w="0" w:type="auto"/>
            <w:tcMar>
              <w:top w:w="15" w:type="dxa"/>
              <w:left w:w="90" w:type="dxa"/>
              <w:bottom w:w="15" w:type="dxa"/>
              <w:right w:w="90" w:type="dxa"/>
            </w:tcMar>
            <w:hideMark/>
          </w:tcPr>
          <w:p w:rsidR="005B03DA" w:rsidRPr="00842323" w:rsidRDefault="005B03DA" w:rsidP="003C3FCA">
            <w:pPr>
              <w:spacing w:after="0" w:line="240" w:lineRule="auto"/>
              <w:jc w:val="right"/>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31</w:t>
            </w:r>
          </w:p>
        </w:tc>
        <w:tc>
          <w:tcPr>
            <w:tcW w:w="0" w:type="auto"/>
            <w:tcMar>
              <w:top w:w="15" w:type="dxa"/>
              <w:left w:w="90" w:type="dxa"/>
              <w:bottom w:w="15" w:type="dxa"/>
              <w:right w:w="90" w:type="dxa"/>
            </w:tcMar>
            <w:hideMark/>
          </w:tcPr>
          <w:p w:rsidR="005B03DA" w:rsidRPr="00842323" w:rsidRDefault="005B03DA" w:rsidP="003C3FCA">
            <w:pPr>
              <w:spacing w:after="0" w:line="240" w:lineRule="auto"/>
              <w:rPr>
                <w:rFonts w:asciiTheme="minorHAnsi" w:eastAsia="Times New Roman" w:hAnsiTheme="minorHAnsi" w:cs="Times New Roman"/>
                <w:sz w:val="22"/>
                <w:szCs w:val="22"/>
              </w:rPr>
            </w:pPr>
            <w:r w:rsidRPr="00842323">
              <w:rPr>
                <w:rFonts w:asciiTheme="minorHAnsi" w:eastAsia="Times New Roman" w:hAnsiTheme="minorHAnsi" w:cs="Times New Roman"/>
                <w:sz w:val="22"/>
                <w:szCs w:val="22"/>
              </w:rPr>
              <w:t>Paid the dividend declared on July 15.</w:t>
            </w:r>
          </w:p>
        </w:tc>
      </w:tr>
    </w:tbl>
    <w:p w:rsidR="005B03DA" w:rsidRPr="00842323" w:rsidRDefault="005B03DA" w:rsidP="005B03DA">
      <w:pPr>
        <w:spacing w:after="0" w:line="240" w:lineRule="auto"/>
        <w:rPr>
          <w:rFonts w:asciiTheme="minorHAnsi" w:eastAsia="Times New Roman" w:hAnsiTheme="minorHAnsi" w:cs="Helvetica"/>
          <w:color w:val="EA981A"/>
          <w:sz w:val="22"/>
          <w:szCs w:val="22"/>
          <w:bdr w:val="single" w:sz="6" w:space="4" w:color="000000" w:frame="1"/>
        </w:rPr>
      </w:pP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t>QS 11-10</w:t>
      </w: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Dividend allocation between classes of shareholders </w:t>
      </w:r>
      <w:r w:rsidRPr="00842323">
        <w:rPr>
          <w:rFonts w:asciiTheme="minorHAnsi" w:eastAsia="Times New Roman" w:hAnsiTheme="minorHAnsi" w:cs="Helvetica"/>
          <w:bCs/>
          <w:color w:val="0B6D95"/>
          <w:sz w:val="22"/>
          <w:szCs w:val="22"/>
        </w:rPr>
        <w:t>C2</w:t>
      </w:r>
      <w:r w:rsidRPr="00842323">
        <w:rPr>
          <w:rFonts w:asciiTheme="minorHAnsi" w:eastAsia="Times New Roman" w:hAnsiTheme="minorHAnsi" w:cs="Helvetica"/>
          <w:color w:val="333333"/>
          <w:sz w:val="22"/>
          <w:szCs w:val="22"/>
        </w:rPr>
        <w:t> </w:t>
      </w:r>
    </w:p>
    <w:p w:rsidR="00842323" w:rsidRP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 xml:space="preserve">Stockholders' equity of Ernst Company consists of 80,000 shares of $5 par value, 8% cumulative preferred stock and 250,000 shares of $1 par value common stock. Both classes of stock have been outstanding since the company's inception. Ernst did not declare any dividends in the prior year, but it now declares and pays </w:t>
      </w:r>
      <w:proofErr w:type="gramStart"/>
      <w:r w:rsidRPr="00842323">
        <w:rPr>
          <w:rFonts w:asciiTheme="minorHAnsi" w:eastAsia="Times New Roman" w:hAnsiTheme="minorHAnsi" w:cs="Helvetica"/>
          <w:color w:val="333333"/>
          <w:sz w:val="22"/>
          <w:szCs w:val="22"/>
        </w:rPr>
        <w:t>a</w:t>
      </w:r>
      <w:proofErr w:type="gramEnd"/>
      <w:r w:rsidRPr="00842323">
        <w:rPr>
          <w:rFonts w:asciiTheme="minorHAnsi" w:eastAsia="Times New Roman" w:hAnsiTheme="minorHAnsi" w:cs="Helvetica"/>
          <w:color w:val="333333"/>
          <w:sz w:val="22"/>
          <w:szCs w:val="22"/>
        </w:rPr>
        <w:t xml:space="preserve"> $110,000 cash dividend at the current year-end. Determine the amount distributed to each class of stockholders for this two-year-old company.</w:t>
      </w:r>
    </w:p>
    <w:p w:rsidR="00B84D51" w:rsidRDefault="00B84D51" w:rsidP="00842323">
      <w:pPr>
        <w:spacing w:after="0" w:line="240" w:lineRule="auto"/>
        <w:rPr>
          <w:rFonts w:asciiTheme="minorHAnsi" w:eastAsia="Times New Roman" w:hAnsiTheme="minorHAnsi" w:cs="Helvetica"/>
          <w:color w:val="EA981A"/>
          <w:sz w:val="22"/>
          <w:szCs w:val="22"/>
          <w:bdr w:val="single" w:sz="6" w:space="4" w:color="000000" w:frame="1"/>
        </w:rPr>
      </w:pP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t>Exercise 11-8</w:t>
      </w: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Dividends on common and noncumulative preferred stock </w:t>
      </w:r>
      <w:r w:rsidRPr="00842323">
        <w:rPr>
          <w:rFonts w:asciiTheme="minorHAnsi" w:eastAsia="Times New Roman" w:hAnsiTheme="minorHAnsi" w:cs="Helvetica"/>
          <w:bCs/>
          <w:color w:val="0B6D95"/>
          <w:sz w:val="22"/>
          <w:szCs w:val="22"/>
        </w:rPr>
        <w:t>C2</w:t>
      </w:r>
    </w:p>
    <w:p w:rsidR="00842323" w:rsidRP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York's outstanding stock consists of 80,000 shares of </w:t>
      </w:r>
      <w:r w:rsidRPr="00842323">
        <w:rPr>
          <w:rFonts w:asciiTheme="minorHAnsi" w:eastAsia="Times New Roman" w:hAnsiTheme="minorHAnsi" w:cs="Helvetica"/>
          <w:i/>
          <w:iCs/>
          <w:color w:val="333333"/>
          <w:sz w:val="22"/>
          <w:szCs w:val="22"/>
        </w:rPr>
        <w:t>noncumulative</w:t>
      </w:r>
      <w:r w:rsidRPr="00842323">
        <w:rPr>
          <w:rFonts w:asciiTheme="minorHAnsi" w:eastAsia="Times New Roman" w:hAnsiTheme="minorHAnsi" w:cs="Helvetica"/>
          <w:color w:val="333333"/>
          <w:sz w:val="22"/>
          <w:szCs w:val="22"/>
        </w:rPr>
        <w:t> 7.5% preferred stock with a $5 par value and also 200,000 shares of common stock with a $1 par value. During its first four years of operation, the corporation declared and paid the following total cash dividends:</w:t>
      </w:r>
    </w:p>
    <w:p w:rsidR="00842323" w:rsidRPr="00842323" w:rsidRDefault="00842323" w:rsidP="00842323">
      <w:pPr>
        <w:spacing w:after="15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noProof/>
          <w:color w:val="333333"/>
          <w:sz w:val="22"/>
          <w:szCs w:val="22"/>
        </w:rPr>
        <w:drawing>
          <wp:inline distT="0" distB="0" distL="0" distR="0" wp14:anchorId="2EF339DC" wp14:editId="43FF7048">
            <wp:extent cx="2822575" cy="819150"/>
            <wp:effectExtent l="0" t="0" r="0" b="0"/>
            <wp:docPr id="2" name="Picture 2" descr="http://textflow.mheducation.com/figures/1259662969/ch11-unta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662969_001_111389c" descr="http://textflow.mheducation.com/figures/1259662969/ch11-untab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2575" cy="819150"/>
                    </a:xfrm>
                    <a:prstGeom prst="rect">
                      <a:avLst/>
                    </a:prstGeom>
                    <a:noFill/>
                    <a:ln>
                      <a:noFill/>
                    </a:ln>
                  </pic:spPr>
                </pic:pic>
              </a:graphicData>
            </a:graphic>
          </wp:inline>
        </w:drawing>
      </w:r>
    </w:p>
    <w:p w:rsidR="00842323" w:rsidRP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Determine the amount of dividends paid each year to each of the two classes of stockholders: preferred and common. Also compute the total dividends paid to each class for the four years combined.</w:t>
      </w:r>
    </w:p>
    <w:p w:rsidR="00842323" w:rsidRDefault="00842323" w:rsidP="00842323">
      <w:pPr>
        <w:spacing w:after="0" w:line="255" w:lineRule="atLeast"/>
        <w:rPr>
          <w:rFonts w:asciiTheme="minorHAnsi" w:eastAsia="Times New Roman" w:hAnsiTheme="minorHAnsi" w:cs="Helvetica"/>
          <w:color w:val="333333"/>
          <w:sz w:val="22"/>
          <w:szCs w:val="22"/>
        </w:rPr>
      </w:pPr>
      <w:r w:rsidRPr="00842323">
        <w:rPr>
          <w:rFonts w:asciiTheme="minorHAnsi" w:eastAsia="Times New Roman" w:hAnsiTheme="minorHAnsi" w:cs="Helvetica"/>
          <w:bCs/>
          <w:color w:val="333333"/>
          <w:sz w:val="22"/>
          <w:szCs w:val="22"/>
        </w:rPr>
        <w:t>Check</w:t>
      </w:r>
      <w:r w:rsidRPr="00842323">
        <w:rPr>
          <w:rFonts w:asciiTheme="minorHAnsi" w:eastAsia="Times New Roman" w:hAnsiTheme="minorHAnsi" w:cs="Helvetica"/>
          <w:color w:val="333333"/>
          <w:sz w:val="22"/>
          <w:szCs w:val="22"/>
        </w:rPr>
        <w:t>   4-year total paid to preferred, $108,000</w:t>
      </w:r>
    </w:p>
    <w:p w:rsidR="00842323" w:rsidRDefault="00842323" w:rsidP="00842323">
      <w:pPr>
        <w:spacing w:after="0" w:line="255" w:lineRule="atLeast"/>
        <w:rPr>
          <w:rFonts w:asciiTheme="minorHAnsi" w:eastAsia="Times New Roman" w:hAnsiTheme="minorHAnsi" w:cs="Helvetica"/>
          <w:color w:val="333333"/>
          <w:sz w:val="22"/>
          <w:szCs w:val="22"/>
        </w:rPr>
      </w:pP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EA981A"/>
          <w:sz w:val="22"/>
          <w:szCs w:val="22"/>
          <w:bdr w:val="single" w:sz="6" w:space="4" w:color="000000" w:frame="1"/>
        </w:rPr>
        <w:t>Exercise 11-9</w:t>
      </w:r>
    </w:p>
    <w:p w:rsidR="00842323" w:rsidRPr="00842323" w:rsidRDefault="00842323" w:rsidP="00842323">
      <w:pPr>
        <w:spacing w:after="0" w:line="240" w:lineRule="auto"/>
        <w:rPr>
          <w:rFonts w:asciiTheme="minorHAnsi" w:eastAsia="Times New Roman" w:hAnsiTheme="minorHAnsi" w:cs="Helvetica"/>
          <w:color w:val="333333"/>
          <w:sz w:val="22"/>
          <w:szCs w:val="22"/>
        </w:rPr>
      </w:pPr>
      <w:r w:rsidRPr="00842323">
        <w:rPr>
          <w:rFonts w:asciiTheme="minorHAnsi" w:eastAsia="Times New Roman" w:hAnsiTheme="minorHAnsi" w:cs="Helvetica"/>
          <w:color w:val="333333"/>
          <w:sz w:val="22"/>
          <w:szCs w:val="22"/>
        </w:rPr>
        <w:t>Dividends on common and cumulative preferred stock </w:t>
      </w:r>
      <w:r w:rsidRPr="00842323">
        <w:rPr>
          <w:rFonts w:asciiTheme="minorHAnsi" w:eastAsia="Times New Roman" w:hAnsiTheme="minorHAnsi" w:cs="Helvetica"/>
          <w:bCs/>
          <w:color w:val="0B6D95"/>
          <w:sz w:val="22"/>
          <w:szCs w:val="22"/>
        </w:rPr>
        <w:t>C2</w:t>
      </w:r>
    </w:p>
    <w:p w:rsidR="005B03DA" w:rsidRPr="005B03DA" w:rsidRDefault="00842323" w:rsidP="00B84D51">
      <w:pPr>
        <w:spacing w:after="0" w:line="255" w:lineRule="atLeast"/>
        <w:rPr>
          <w:rFonts w:asciiTheme="majorHAnsi" w:hAnsiTheme="majorHAnsi" w:cs="Arial"/>
          <w:color w:val="000000"/>
          <w:sz w:val="18"/>
          <w:szCs w:val="22"/>
        </w:rPr>
      </w:pPr>
      <w:r w:rsidRPr="00842323">
        <w:rPr>
          <w:rFonts w:asciiTheme="minorHAnsi" w:eastAsia="Times New Roman" w:hAnsiTheme="minorHAnsi" w:cs="Helvetica"/>
          <w:color w:val="333333"/>
          <w:sz w:val="22"/>
          <w:szCs w:val="22"/>
        </w:rPr>
        <w:t>Use the data in Exercise 11-8 to determine the amount of dividends paid each year to each of the two classes of stockholders assuming that the preferred stock is </w:t>
      </w:r>
      <w:r w:rsidRPr="00842323">
        <w:rPr>
          <w:rFonts w:asciiTheme="minorHAnsi" w:eastAsia="Times New Roman" w:hAnsiTheme="minorHAnsi" w:cs="Helvetica"/>
          <w:i/>
          <w:iCs/>
          <w:color w:val="333333"/>
          <w:sz w:val="22"/>
          <w:szCs w:val="22"/>
        </w:rPr>
        <w:t>cumulative.</w:t>
      </w:r>
      <w:r w:rsidRPr="00842323">
        <w:rPr>
          <w:rFonts w:asciiTheme="minorHAnsi" w:eastAsia="Times New Roman" w:hAnsiTheme="minorHAnsi" w:cs="Helvetica"/>
          <w:color w:val="333333"/>
          <w:sz w:val="22"/>
          <w:szCs w:val="22"/>
        </w:rPr>
        <w:t> Also determine the total dividends paid to each class for the four years combined.</w:t>
      </w:r>
      <w:bookmarkStart w:id="0" w:name="_GoBack"/>
      <w:bookmarkEnd w:id="0"/>
    </w:p>
    <w:p w:rsidR="00842323" w:rsidRPr="005B03DA" w:rsidRDefault="00842323">
      <w:pPr>
        <w:rPr>
          <w:rFonts w:asciiTheme="minorHAnsi" w:hAnsiTheme="minorHAnsi"/>
          <w:sz w:val="18"/>
          <w:szCs w:val="22"/>
        </w:rPr>
      </w:pPr>
    </w:p>
    <w:sectPr w:rsidR="00842323" w:rsidRPr="005B03DA" w:rsidSect="005B03D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146B"/>
    <w:multiLevelType w:val="multilevel"/>
    <w:tmpl w:val="08AAA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2CA6EC6"/>
    <w:multiLevelType w:val="multilevel"/>
    <w:tmpl w:val="F33C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75C9D"/>
    <w:multiLevelType w:val="multilevel"/>
    <w:tmpl w:val="8D2A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23"/>
    <w:rsid w:val="00017EA2"/>
    <w:rsid w:val="00196B81"/>
    <w:rsid w:val="005B03DA"/>
    <w:rsid w:val="00842323"/>
    <w:rsid w:val="00B8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03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qFormat/>
    <w:rsid w:val="005B03DA"/>
    <w:pPr>
      <w:keepNext/>
      <w:tabs>
        <w:tab w:val="right" w:leader="dot" w:pos="7715"/>
      </w:tabs>
      <w:spacing w:after="0" w:line="240" w:lineRule="auto"/>
      <w:outlineLvl w:val="5"/>
    </w:pPr>
    <w:rPr>
      <w:rFonts w:ascii="Arial" w:eastAsia="Times New Roman" w:hAnsi="Arial"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842323"/>
  </w:style>
  <w:style w:type="character" w:customStyle="1" w:styleId="apple-converted-space">
    <w:name w:val="apple-converted-space"/>
    <w:basedOn w:val="DefaultParagraphFont"/>
    <w:rsid w:val="00842323"/>
  </w:style>
  <w:style w:type="character" w:customStyle="1" w:styleId="spendlop">
    <w:name w:val="spendlop"/>
    <w:basedOn w:val="DefaultParagraphFont"/>
    <w:rsid w:val="00842323"/>
  </w:style>
  <w:style w:type="paragraph" w:styleId="NormalWeb">
    <w:name w:val="Normal (Web)"/>
    <w:basedOn w:val="Normal"/>
    <w:uiPriority w:val="99"/>
    <w:semiHidden/>
    <w:unhideWhenUsed/>
    <w:rsid w:val="00842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c">
    <w:name w:val="spendloc"/>
    <w:basedOn w:val="DefaultParagraphFont"/>
    <w:rsid w:val="00842323"/>
  </w:style>
  <w:style w:type="paragraph" w:styleId="BalloonText">
    <w:name w:val="Balloon Text"/>
    <w:basedOn w:val="Normal"/>
    <w:link w:val="BalloonTextChar"/>
    <w:uiPriority w:val="99"/>
    <w:semiHidden/>
    <w:unhideWhenUsed/>
    <w:rsid w:val="0084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23"/>
    <w:rPr>
      <w:rFonts w:ascii="Tahoma" w:hAnsi="Tahoma" w:cs="Tahoma"/>
      <w:sz w:val="16"/>
      <w:szCs w:val="16"/>
    </w:rPr>
  </w:style>
  <w:style w:type="character" w:styleId="Emphasis">
    <w:name w:val="Emphasis"/>
    <w:basedOn w:val="DefaultParagraphFont"/>
    <w:uiPriority w:val="20"/>
    <w:qFormat/>
    <w:rsid w:val="00842323"/>
    <w:rPr>
      <w:i/>
      <w:iCs/>
    </w:rPr>
  </w:style>
  <w:style w:type="character" w:styleId="Strong">
    <w:name w:val="Strong"/>
    <w:basedOn w:val="DefaultParagraphFont"/>
    <w:uiPriority w:val="22"/>
    <w:qFormat/>
    <w:rsid w:val="00842323"/>
    <w:rPr>
      <w:b/>
      <w:bCs/>
    </w:rPr>
  </w:style>
  <w:style w:type="character" w:customStyle="1" w:styleId="Heading6Char">
    <w:name w:val="Heading 6 Char"/>
    <w:basedOn w:val="DefaultParagraphFont"/>
    <w:link w:val="Heading6"/>
    <w:rsid w:val="005B03DA"/>
    <w:rPr>
      <w:rFonts w:ascii="Arial" w:eastAsia="Times New Roman" w:hAnsi="Arial" w:cs="Times New Roman"/>
      <w:b/>
      <w:color w:val="000000"/>
      <w:sz w:val="26"/>
    </w:rPr>
  </w:style>
  <w:style w:type="paragraph" w:styleId="ListParagraph">
    <w:name w:val="List Paragraph"/>
    <w:basedOn w:val="Normal"/>
    <w:uiPriority w:val="34"/>
    <w:qFormat/>
    <w:rsid w:val="005B03DA"/>
    <w:pPr>
      <w:ind w:left="720"/>
      <w:contextualSpacing/>
    </w:pPr>
  </w:style>
  <w:style w:type="character" w:customStyle="1" w:styleId="Heading2Char">
    <w:name w:val="Heading 2 Char"/>
    <w:basedOn w:val="DefaultParagraphFont"/>
    <w:link w:val="Heading2"/>
    <w:uiPriority w:val="9"/>
    <w:semiHidden/>
    <w:rsid w:val="005B03DA"/>
    <w:rPr>
      <w:rFonts w:asciiTheme="majorHAnsi" w:eastAsiaTheme="majorEastAsia" w:hAnsiTheme="majorHAnsi" w:cstheme="majorBidi"/>
      <w:b/>
      <w:bCs/>
      <w:color w:val="5B9BD5" w:themeColor="accent1"/>
      <w:sz w:val="26"/>
      <w:szCs w:val="26"/>
    </w:rPr>
  </w:style>
  <w:style w:type="paragraph" w:styleId="BlockText">
    <w:name w:val="Block Text"/>
    <w:basedOn w:val="Normal"/>
    <w:rsid w:val="005B03DA"/>
    <w:pPr>
      <w:spacing w:after="0" w:line="240" w:lineRule="auto"/>
      <w:ind w:left="180" w:right="720"/>
    </w:pPr>
    <w:rPr>
      <w:rFonts w:ascii="Arial" w:eastAsia="Times New Roman" w:hAnsi="Arial" w:cs="Times New Roman"/>
      <w:b/>
      <w:color w:val="000000"/>
      <w:sz w:val="22"/>
    </w:rPr>
  </w:style>
  <w:style w:type="paragraph" w:styleId="BodyTextIndent">
    <w:name w:val="Body Text Indent"/>
    <w:basedOn w:val="Normal"/>
    <w:link w:val="BodyTextIndentChar"/>
    <w:rsid w:val="005B03DA"/>
    <w:pPr>
      <w:spacing w:after="0" w:line="240" w:lineRule="auto"/>
      <w:ind w:left="1710" w:hanging="180"/>
    </w:pPr>
    <w:rPr>
      <w:rFonts w:ascii="Arial" w:eastAsia="Times New Roman" w:hAnsi="Arial" w:cs="Times New Roman"/>
      <w:b/>
      <w:sz w:val="22"/>
    </w:rPr>
  </w:style>
  <w:style w:type="character" w:customStyle="1" w:styleId="BodyTextIndentChar">
    <w:name w:val="Body Text Indent Char"/>
    <w:basedOn w:val="DefaultParagraphFont"/>
    <w:link w:val="BodyTextIndent"/>
    <w:rsid w:val="005B03DA"/>
    <w:rPr>
      <w:rFonts w:ascii="Arial" w:eastAsia="Times New Roman" w:hAnsi="Arial"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03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qFormat/>
    <w:rsid w:val="005B03DA"/>
    <w:pPr>
      <w:keepNext/>
      <w:tabs>
        <w:tab w:val="right" w:leader="dot" w:pos="7715"/>
      </w:tabs>
      <w:spacing w:after="0" w:line="240" w:lineRule="auto"/>
      <w:outlineLvl w:val="5"/>
    </w:pPr>
    <w:rPr>
      <w:rFonts w:ascii="Arial" w:eastAsia="Times New Roman" w:hAnsi="Arial"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842323"/>
  </w:style>
  <w:style w:type="character" w:customStyle="1" w:styleId="apple-converted-space">
    <w:name w:val="apple-converted-space"/>
    <w:basedOn w:val="DefaultParagraphFont"/>
    <w:rsid w:val="00842323"/>
  </w:style>
  <w:style w:type="character" w:customStyle="1" w:styleId="spendlop">
    <w:name w:val="spendlop"/>
    <w:basedOn w:val="DefaultParagraphFont"/>
    <w:rsid w:val="00842323"/>
  </w:style>
  <w:style w:type="paragraph" w:styleId="NormalWeb">
    <w:name w:val="Normal (Web)"/>
    <w:basedOn w:val="Normal"/>
    <w:uiPriority w:val="99"/>
    <w:semiHidden/>
    <w:unhideWhenUsed/>
    <w:rsid w:val="00842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c">
    <w:name w:val="spendloc"/>
    <w:basedOn w:val="DefaultParagraphFont"/>
    <w:rsid w:val="00842323"/>
  </w:style>
  <w:style w:type="paragraph" w:styleId="BalloonText">
    <w:name w:val="Balloon Text"/>
    <w:basedOn w:val="Normal"/>
    <w:link w:val="BalloonTextChar"/>
    <w:uiPriority w:val="99"/>
    <w:semiHidden/>
    <w:unhideWhenUsed/>
    <w:rsid w:val="0084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23"/>
    <w:rPr>
      <w:rFonts w:ascii="Tahoma" w:hAnsi="Tahoma" w:cs="Tahoma"/>
      <w:sz w:val="16"/>
      <w:szCs w:val="16"/>
    </w:rPr>
  </w:style>
  <w:style w:type="character" w:styleId="Emphasis">
    <w:name w:val="Emphasis"/>
    <w:basedOn w:val="DefaultParagraphFont"/>
    <w:uiPriority w:val="20"/>
    <w:qFormat/>
    <w:rsid w:val="00842323"/>
    <w:rPr>
      <w:i/>
      <w:iCs/>
    </w:rPr>
  </w:style>
  <w:style w:type="character" w:styleId="Strong">
    <w:name w:val="Strong"/>
    <w:basedOn w:val="DefaultParagraphFont"/>
    <w:uiPriority w:val="22"/>
    <w:qFormat/>
    <w:rsid w:val="00842323"/>
    <w:rPr>
      <w:b/>
      <w:bCs/>
    </w:rPr>
  </w:style>
  <w:style w:type="character" w:customStyle="1" w:styleId="Heading6Char">
    <w:name w:val="Heading 6 Char"/>
    <w:basedOn w:val="DefaultParagraphFont"/>
    <w:link w:val="Heading6"/>
    <w:rsid w:val="005B03DA"/>
    <w:rPr>
      <w:rFonts w:ascii="Arial" w:eastAsia="Times New Roman" w:hAnsi="Arial" w:cs="Times New Roman"/>
      <w:b/>
      <w:color w:val="000000"/>
      <w:sz w:val="26"/>
    </w:rPr>
  </w:style>
  <w:style w:type="paragraph" w:styleId="ListParagraph">
    <w:name w:val="List Paragraph"/>
    <w:basedOn w:val="Normal"/>
    <w:uiPriority w:val="34"/>
    <w:qFormat/>
    <w:rsid w:val="005B03DA"/>
    <w:pPr>
      <w:ind w:left="720"/>
      <w:contextualSpacing/>
    </w:pPr>
  </w:style>
  <w:style w:type="character" w:customStyle="1" w:styleId="Heading2Char">
    <w:name w:val="Heading 2 Char"/>
    <w:basedOn w:val="DefaultParagraphFont"/>
    <w:link w:val="Heading2"/>
    <w:uiPriority w:val="9"/>
    <w:semiHidden/>
    <w:rsid w:val="005B03DA"/>
    <w:rPr>
      <w:rFonts w:asciiTheme="majorHAnsi" w:eastAsiaTheme="majorEastAsia" w:hAnsiTheme="majorHAnsi" w:cstheme="majorBidi"/>
      <w:b/>
      <w:bCs/>
      <w:color w:val="5B9BD5" w:themeColor="accent1"/>
      <w:sz w:val="26"/>
      <w:szCs w:val="26"/>
    </w:rPr>
  </w:style>
  <w:style w:type="paragraph" w:styleId="BlockText">
    <w:name w:val="Block Text"/>
    <w:basedOn w:val="Normal"/>
    <w:rsid w:val="005B03DA"/>
    <w:pPr>
      <w:spacing w:after="0" w:line="240" w:lineRule="auto"/>
      <w:ind w:left="180" w:right="720"/>
    </w:pPr>
    <w:rPr>
      <w:rFonts w:ascii="Arial" w:eastAsia="Times New Roman" w:hAnsi="Arial" w:cs="Times New Roman"/>
      <w:b/>
      <w:color w:val="000000"/>
      <w:sz w:val="22"/>
    </w:rPr>
  </w:style>
  <w:style w:type="paragraph" w:styleId="BodyTextIndent">
    <w:name w:val="Body Text Indent"/>
    <w:basedOn w:val="Normal"/>
    <w:link w:val="BodyTextIndentChar"/>
    <w:rsid w:val="005B03DA"/>
    <w:pPr>
      <w:spacing w:after="0" w:line="240" w:lineRule="auto"/>
      <w:ind w:left="1710" w:hanging="180"/>
    </w:pPr>
    <w:rPr>
      <w:rFonts w:ascii="Arial" w:eastAsia="Times New Roman" w:hAnsi="Arial" w:cs="Times New Roman"/>
      <w:b/>
      <w:sz w:val="22"/>
    </w:rPr>
  </w:style>
  <w:style w:type="character" w:customStyle="1" w:styleId="BodyTextIndentChar">
    <w:name w:val="Body Text Indent Char"/>
    <w:basedOn w:val="DefaultParagraphFont"/>
    <w:link w:val="BodyTextIndent"/>
    <w:rsid w:val="005B03DA"/>
    <w:rPr>
      <w:rFonts w:ascii="Arial" w:eastAsia="Times New Roman" w:hAnsi="Arial"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3437">
      <w:bodyDiv w:val="1"/>
      <w:marLeft w:val="0"/>
      <w:marRight w:val="0"/>
      <w:marTop w:val="0"/>
      <w:marBottom w:val="0"/>
      <w:divBdr>
        <w:top w:val="none" w:sz="0" w:space="0" w:color="auto"/>
        <w:left w:val="none" w:sz="0" w:space="0" w:color="auto"/>
        <w:bottom w:val="none" w:sz="0" w:space="0" w:color="auto"/>
        <w:right w:val="none" w:sz="0" w:space="0" w:color="auto"/>
      </w:divBdr>
      <w:divsChild>
        <w:div w:id="1044909611">
          <w:marLeft w:val="0"/>
          <w:marRight w:val="0"/>
          <w:marTop w:val="0"/>
          <w:marBottom w:val="0"/>
          <w:divBdr>
            <w:top w:val="none" w:sz="0" w:space="0" w:color="auto"/>
            <w:left w:val="none" w:sz="0" w:space="0" w:color="auto"/>
            <w:bottom w:val="none" w:sz="0" w:space="0" w:color="auto"/>
            <w:right w:val="none" w:sz="0" w:space="0" w:color="auto"/>
          </w:divBdr>
          <w:divsChild>
            <w:div w:id="574244243">
              <w:marLeft w:val="0"/>
              <w:marRight w:val="0"/>
              <w:marTop w:val="0"/>
              <w:marBottom w:val="0"/>
              <w:divBdr>
                <w:top w:val="none" w:sz="0" w:space="0" w:color="auto"/>
                <w:left w:val="none" w:sz="0" w:space="0" w:color="auto"/>
                <w:bottom w:val="none" w:sz="0" w:space="0" w:color="auto"/>
                <w:right w:val="none" w:sz="0" w:space="0" w:color="auto"/>
              </w:divBdr>
            </w:div>
          </w:divsChild>
        </w:div>
        <w:div w:id="1256093458">
          <w:marLeft w:val="0"/>
          <w:marRight w:val="0"/>
          <w:marTop w:val="0"/>
          <w:marBottom w:val="0"/>
          <w:divBdr>
            <w:top w:val="none" w:sz="0" w:space="0" w:color="auto"/>
            <w:left w:val="none" w:sz="0" w:space="0" w:color="auto"/>
            <w:bottom w:val="none" w:sz="0" w:space="0" w:color="auto"/>
            <w:right w:val="none" w:sz="0" w:space="0" w:color="auto"/>
          </w:divBdr>
          <w:divsChild>
            <w:div w:id="3924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5602">
      <w:bodyDiv w:val="1"/>
      <w:marLeft w:val="0"/>
      <w:marRight w:val="0"/>
      <w:marTop w:val="0"/>
      <w:marBottom w:val="0"/>
      <w:divBdr>
        <w:top w:val="none" w:sz="0" w:space="0" w:color="auto"/>
        <w:left w:val="none" w:sz="0" w:space="0" w:color="auto"/>
        <w:bottom w:val="none" w:sz="0" w:space="0" w:color="auto"/>
        <w:right w:val="none" w:sz="0" w:space="0" w:color="auto"/>
      </w:divBdr>
      <w:divsChild>
        <w:div w:id="1281910759">
          <w:marLeft w:val="0"/>
          <w:marRight w:val="0"/>
          <w:marTop w:val="0"/>
          <w:marBottom w:val="0"/>
          <w:divBdr>
            <w:top w:val="none" w:sz="0" w:space="0" w:color="auto"/>
            <w:left w:val="none" w:sz="0" w:space="0" w:color="auto"/>
            <w:bottom w:val="none" w:sz="0" w:space="0" w:color="auto"/>
            <w:right w:val="none" w:sz="0" w:space="0" w:color="auto"/>
          </w:divBdr>
          <w:divsChild>
            <w:div w:id="1290159645">
              <w:marLeft w:val="0"/>
              <w:marRight w:val="0"/>
              <w:marTop w:val="0"/>
              <w:marBottom w:val="0"/>
              <w:divBdr>
                <w:top w:val="none" w:sz="0" w:space="0" w:color="auto"/>
                <w:left w:val="none" w:sz="0" w:space="0" w:color="auto"/>
                <w:bottom w:val="none" w:sz="0" w:space="0" w:color="auto"/>
                <w:right w:val="none" w:sz="0" w:space="0" w:color="auto"/>
              </w:divBdr>
            </w:div>
            <w:div w:id="2070573445">
              <w:marLeft w:val="0"/>
              <w:marRight w:val="0"/>
              <w:marTop w:val="0"/>
              <w:marBottom w:val="0"/>
              <w:divBdr>
                <w:top w:val="none" w:sz="0" w:space="0" w:color="auto"/>
                <w:left w:val="none" w:sz="0" w:space="0" w:color="auto"/>
                <w:bottom w:val="none" w:sz="0" w:space="0" w:color="auto"/>
                <w:right w:val="none" w:sz="0" w:space="0" w:color="auto"/>
              </w:divBdr>
              <w:divsChild>
                <w:div w:id="1744327445">
                  <w:marLeft w:val="0"/>
                  <w:marRight w:val="0"/>
                  <w:marTop w:val="150"/>
                  <w:marBottom w:val="150"/>
                  <w:divBdr>
                    <w:top w:val="none" w:sz="0" w:space="0" w:color="auto"/>
                    <w:left w:val="none" w:sz="0" w:space="0" w:color="auto"/>
                    <w:bottom w:val="none" w:sz="0" w:space="0" w:color="auto"/>
                    <w:right w:val="none" w:sz="0" w:space="0" w:color="auto"/>
                  </w:divBdr>
                </w:div>
              </w:divsChild>
            </w:div>
            <w:div w:id="556667167">
              <w:marLeft w:val="0"/>
              <w:marRight w:val="0"/>
              <w:marTop w:val="0"/>
              <w:marBottom w:val="0"/>
              <w:divBdr>
                <w:top w:val="none" w:sz="0" w:space="0" w:color="auto"/>
                <w:left w:val="none" w:sz="0" w:space="0" w:color="auto"/>
                <w:bottom w:val="none" w:sz="0" w:space="0" w:color="auto"/>
                <w:right w:val="none" w:sz="0" w:space="0" w:color="auto"/>
              </w:divBdr>
            </w:div>
          </w:divsChild>
        </w:div>
        <w:div w:id="971785502">
          <w:marLeft w:val="0"/>
          <w:marRight w:val="0"/>
          <w:marTop w:val="0"/>
          <w:marBottom w:val="0"/>
          <w:divBdr>
            <w:top w:val="none" w:sz="0" w:space="0" w:color="auto"/>
            <w:left w:val="none" w:sz="0" w:space="0" w:color="auto"/>
            <w:bottom w:val="none" w:sz="0" w:space="0" w:color="auto"/>
            <w:right w:val="none" w:sz="0" w:space="0" w:color="auto"/>
          </w:divBdr>
          <w:divsChild>
            <w:div w:id="7993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57586">
      <w:bodyDiv w:val="1"/>
      <w:marLeft w:val="0"/>
      <w:marRight w:val="0"/>
      <w:marTop w:val="0"/>
      <w:marBottom w:val="0"/>
      <w:divBdr>
        <w:top w:val="none" w:sz="0" w:space="0" w:color="auto"/>
        <w:left w:val="none" w:sz="0" w:space="0" w:color="auto"/>
        <w:bottom w:val="none" w:sz="0" w:space="0" w:color="auto"/>
        <w:right w:val="none" w:sz="0" w:space="0" w:color="auto"/>
      </w:divBdr>
      <w:divsChild>
        <w:div w:id="588317917">
          <w:marLeft w:val="0"/>
          <w:marRight w:val="0"/>
          <w:marTop w:val="0"/>
          <w:marBottom w:val="0"/>
          <w:divBdr>
            <w:top w:val="none" w:sz="0" w:space="0" w:color="auto"/>
            <w:left w:val="none" w:sz="0" w:space="0" w:color="auto"/>
            <w:bottom w:val="none" w:sz="0" w:space="0" w:color="auto"/>
            <w:right w:val="none" w:sz="0" w:space="0" w:color="auto"/>
          </w:divBdr>
          <w:divsChild>
            <w:div w:id="1097482526">
              <w:marLeft w:val="0"/>
              <w:marRight w:val="0"/>
              <w:marTop w:val="0"/>
              <w:marBottom w:val="0"/>
              <w:divBdr>
                <w:top w:val="none" w:sz="0" w:space="0" w:color="auto"/>
                <w:left w:val="none" w:sz="0" w:space="0" w:color="auto"/>
                <w:bottom w:val="none" w:sz="0" w:space="0" w:color="auto"/>
                <w:right w:val="none" w:sz="0" w:space="0" w:color="auto"/>
              </w:divBdr>
            </w:div>
          </w:divsChild>
        </w:div>
        <w:div w:id="1024748643">
          <w:marLeft w:val="0"/>
          <w:marRight w:val="0"/>
          <w:marTop w:val="0"/>
          <w:marBottom w:val="0"/>
          <w:divBdr>
            <w:top w:val="none" w:sz="0" w:space="0" w:color="auto"/>
            <w:left w:val="none" w:sz="0" w:space="0" w:color="auto"/>
            <w:bottom w:val="none" w:sz="0" w:space="0" w:color="auto"/>
            <w:right w:val="none" w:sz="0" w:space="0" w:color="auto"/>
          </w:divBdr>
          <w:divsChild>
            <w:div w:id="251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0949">
      <w:bodyDiv w:val="1"/>
      <w:marLeft w:val="0"/>
      <w:marRight w:val="0"/>
      <w:marTop w:val="0"/>
      <w:marBottom w:val="0"/>
      <w:divBdr>
        <w:top w:val="none" w:sz="0" w:space="0" w:color="auto"/>
        <w:left w:val="none" w:sz="0" w:space="0" w:color="auto"/>
        <w:bottom w:val="none" w:sz="0" w:space="0" w:color="auto"/>
        <w:right w:val="none" w:sz="0" w:space="0" w:color="auto"/>
      </w:divBdr>
      <w:divsChild>
        <w:div w:id="202909204">
          <w:marLeft w:val="0"/>
          <w:marRight w:val="0"/>
          <w:marTop w:val="0"/>
          <w:marBottom w:val="0"/>
          <w:divBdr>
            <w:top w:val="none" w:sz="0" w:space="0" w:color="auto"/>
            <w:left w:val="none" w:sz="0" w:space="0" w:color="auto"/>
            <w:bottom w:val="none" w:sz="0" w:space="0" w:color="auto"/>
            <w:right w:val="none" w:sz="0" w:space="0" w:color="auto"/>
          </w:divBdr>
          <w:divsChild>
            <w:div w:id="309135391">
              <w:marLeft w:val="0"/>
              <w:marRight w:val="0"/>
              <w:marTop w:val="0"/>
              <w:marBottom w:val="0"/>
              <w:divBdr>
                <w:top w:val="none" w:sz="0" w:space="0" w:color="auto"/>
                <w:left w:val="none" w:sz="0" w:space="0" w:color="auto"/>
                <w:bottom w:val="none" w:sz="0" w:space="0" w:color="auto"/>
                <w:right w:val="none" w:sz="0" w:space="0" w:color="auto"/>
              </w:divBdr>
            </w:div>
          </w:divsChild>
        </w:div>
        <w:div w:id="2047943609">
          <w:marLeft w:val="0"/>
          <w:marRight w:val="0"/>
          <w:marTop w:val="0"/>
          <w:marBottom w:val="0"/>
          <w:divBdr>
            <w:top w:val="none" w:sz="0" w:space="0" w:color="auto"/>
            <w:left w:val="none" w:sz="0" w:space="0" w:color="auto"/>
            <w:bottom w:val="none" w:sz="0" w:space="0" w:color="auto"/>
            <w:right w:val="none" w:sz="0" w:space="0" w:color="auto"/>
          </w:divBdr>
          <w:divsChild>
            <w:div w:id="1439831879">
              <w:marLeft w:val="0"/>
              <w:marRight w:val="0"/>
              <w:marTop w:val="0"/>
              <w:marBottom w:val="0"/>
              <w:divBdr>
                <w:top w:val="none" w:sz="0" w:space="0" w:color="auto"/>
                <w:left w:val="none" w:sz="0" w:space="0" w:color="auto"/>
                <w:bottom w:val="none" w:sz="0" w:space="0" w:color="auto"/>
                <w:right w:val="none" w:sz="0" w:space="0" w:color="auto"/>
              </w:divBdr>
            </w:div>
            <w:div w:id="17139956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2016-07-31T02:28:00Z</dcterms:created>
  <dcterms:modified xsi:type="dcterms:W3CDTF">2016-07-31T02:29:00Z</dcterms:modified>
</cp:coreProperties>
</file>