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E1" w:rsidRPr="00C879B0" w:rsidRDefault="00675CE1" w:rsidP="00196B4C">
      <w:pPr>
        <w:jc w:val="both"/>
        <w:rPr>
          <w:b/>
        </w:rPr>
      </w:pPr>
      <w:r w:rsidRPr="00C879B0">
        <w:rPr>
          <w:b/>
        </w:rPr>
        <w:t>Chapter 2 – Recording Journal Entries</w:t>
      </w:r>
    </w:p>
    <w:p w:rsidR="00675CE1" w:rsidRPr="00C879B0" w:rsidRDefault="00675CE1" w:rsidP="00196B4C">
      <w:pPr>
        <w:jc w:val="both"/>
        <w:rPr>
          <w:b/>
        </w:rPr>
      </w:pPr>
      <w:r w:rsidRPr="00C879B0">
        <w:rPr>
          <w:b/>
        </w:rPr>
        <w:t>General Ledger Accounts</w:t>
      </w:r>
    </w:p>
    <w:p w:rsidR="00675CE1" w:rsidRPr="00C879B0" w:rsidRDefault="00675CE1" w:rsidP="00196B4C">
      <w:pPr>
        <w:jc w:val="both"/>
      </w:pPr>
      <w:r w:rsidRPr="00C879B0">
        <w:t xml:space="preserve">Each type of asset, liability and owner’s equity is kept in a separate account in an accounting record called the “General Ledger.”  Each account records all of the transactions associated with it—whether the account increased or decreased.  For example, the cash account would record all transactions associated with it and it alone.  The same holds true for accounts receivable, equipment, accounts payable, salaries payable, owner’s withdrawals, each type of revenue and each type of expense.  </w:t>
      </w:r>
    </w:p>
    <w:p w:rsidR="00675CE1" w:rsidRPr="00C879B0" w:rsidRDefault="00675CE1" w:rsidP="00196B4C">
      <w:pPr>
        <w:jc w:val="both"/>
      </w:pPr>
      <w:r w:rsidRPr="00C879B0">
        <w:t xml:space="preserve">We will not be using general ledger software in this class, so we will be substituting an accounting convention called the “T account” to depict what transpires in the general ledger.  </w:t>
      </w:r>
    </w:p>
    <w:p w:rsidR="004E637B" w:rsidRPr="00C879B0" w:rsidRDefault="004E637B" w:rsidP="00196B4C">
      <w:pPr>
        <w:jc w:val="both"/>
      </w:pPr>
      <w:r w:rsidRPr="00C879B0">
        <w:rPr>
          <w:noProof/>
        </w:rPr>
        <w:drawing>
          <wp:inline distT="0" distB="0" distL="0" distR="0" wp14:anchorId="438C5CBE" wp14:editId="7ACEC90D">
            <wp:extent cx="20878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883920"/>
                    </a:xfrm>
                    <a:prstGeom prst="rect">
                      <a:avLst/>
                    </a:prstGeom>
                    <a:noFill/>
                    <a:ln>
                      <a:noFill/>
                    </a:ln>
                  </pic:spPr>
                </pic:pic>
              </a:graphicData>
            </a:graphic>
          </wp:inline>
        </w:drawing>
      </w:r>
    </w:p>
    <w:p w:rsidR="004E637B" w:rsidRPr="00C879B0" w:rsidRDefault="004E637B" w:rsidP="00196B4C">
      <w:pPr>
        <w:jc w:val="both"/>
      </w:pPr>
      <w:r w:rsidRPr="00C879B0">
        <w:t xml:space="preserve">The T account is shaped like a “T” and amounts are recorded on the left or right side of the dividing line.  Which side the amount is entered into is governed by rules associated with each type of account.  The next page shows the accounts we have learned so far and their rules.  If the amount is to be entered on the left-hand side, it is a debit; if it is to be entered on the right-hand side, it is a credit.  Each account’s rules determine where to place the information and are based on whether the account is increasing or decreasing.  Each account is different; although, there are some general similarities.   </w:t>
      </w:r>
    </w:p>
    <w:p w:rsidR="004E637B" w:rsidRPr="00C879B0" w:rsidRDefault="004E637B" w:rsidP="00196B4C">
      <w:pPr>
        <w:jc w:val="both"/>
      </w:pPr>
      <w:r w:rsidRPr="00C879B0">
        <w:t>We will memorize these rules and have quizzes on them continuously so these concepts will be available to you until you begin to understand the theory behind debits and credits.</w:t>
      </w:r>
    </w:p>
    <w:p w:rsidR="004E637B" w:rsidRPr="00C879B0" w:rsidRDefault="004E637B" w:rsidP="00196B4C">
      <w:pPr>
        <w:jc w:val="both"/>
      </w:pPr>
      <w:r w:rsidRPr="00C879B0">
        <w:rPr>
          <w:b/>
        </w:rPr>
        <w:t>Remember the accounting equation?</w:t>
      </w:r>
      <w:r w:rsidRPr="00C879B0">
        <w:t xml:space="preserve">  Generally, the theory is:</w:t>
      </w:r>
    </w:p>
    <w:p w:rsidR="004E637B" w:rsidRPr="00C879B0" w:rsidRDefault="004E637B" w:rsidP="00196B4C">
      <w:pPr>
        <w:jc w:val="both"/>
      </w:pPr>
      <w:r w:rsidRPr="00C879B0">
        <w:rPr>
          <w:noProof/>
        </w:rPr>
        <w:drawing>
          <wp:inline distT="0" distB="0" distL="0" distR="0" wp14:anchorId="6A03E45E" wp14:editId="325CD2AD">
            <wp:extent cx="3383280" cy="533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533400"/>
                    </a:xfrm>
                    <a:prstGeom prst="rect">
                      <a:avLst/>
                    </a:prstGeom>
                    <a:noFill/>
                    <a:ln>
                      <a:noFill/>
                    </a:ln>
                  </pic:spPr>
                </pic:pic>
              </a:graphicData>
            </a:graphic>
          </wp:inline>
        </w:drawing>
      </w:r>
    </w:p>
    <w:p w:rsidR="004E637B" w:rsidRPr="00C879B0" w:rsidRDefault="004E637B" w:rsidP="00196B4C">
      <w:pPr>
        <w:jc w:val="both"/>
      </w:pPr>
      <w:r w:rsidRPr="00C879B0">
        <w:t>There will be exceptions, but the general rules will apply most of the time.  This is what we will memorize and will the basis for your quizzes.  We will add accounts as we move from chapter to chapter.</w:t>
      </w:r>
      <w:r w:rsidR="00E15EE3" w:rsidRPr="00C879B0">
        <w:t xml:space="preserve">  Each chapter in Canvas will have its own account equation memorization. </w:t>
      </w:r>
    </w:p>
    <w:p w:rsidR="004E637B" w:rsidRPr="00C879B0" w:rsidRDefault="00AE0253" w:rsidP="00196B4C">
      <w:pPr>
        <w:jc w:val="both"/>
      </w:pPr>
      <w:r w:rsidRPr="00AE0253">
        <w:lastRenderedPageBreak/>
        <w:drawing>
          <wp:inline distT="0" distB="0" distL="0" distR="0" wp14:anchorId="647C6C72" wp14:editId="14592DFE">
            <wp:extent cx="5943600" cy="3226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26302"/>
                    </a:xfrm>
                    <a:prstGeom prst="rect">
                      <a:avLst/>
                    </a:prstGeom>
                    <a:noFill/>
                    <a:ln>
                      <a:noFill/>
                    </a:ln>
                  </pic:spPr>
                </pic:pic>
              </a:graphicData>
            </a:graphic>
          </wp:inline>
        </w:drawing>
      </w:r>
    </w:p>
    <w:p w:rsidR="003F3446" w:rsidRPr="00C879B0" w:rsidRDefault="003F3446" w:rsidP="00196B4C">
      <w:pPr>
        <w:jc w:val="both"/>
        <w:rPr>
          <w:b/>
        </w:rPr>
      </w:pPr>
    </w:p>
    <w:p w:rsidR="00F5026E" w:rsidRPr="00F5026E" w:rsidRDefault="0001599B" w:rsidP="00196B4C">
      <w:pPr>
        <w:jc w:val="both"/>
        <w:rPr>
          <w:b/>
          <w:sz w:val="24"/>
        </w:rPr>
      </w:pPr>
      <w:r w:rsidRPr="00F5026E">
        <w:rPr>
          <w:b/>
          <w:sz w:val="24"/>
        </w:rPr>
        <w:t xml:space="preserve">Account normal balances   </w:t>
      </w:r>
    </w:p>
    <w:p w:rsidR="007E2FE3" w:rsidRDefault="003F3446" w:rsidP="007E2FE3">
      <w:pPr>
        <w:jc w:val="both"/>
      </w:pPr>
      <w:r w:rsidRPr="00C879B0">
        <w:t>Whatever increases an account is considered to be its normal bal</w:t>
      </w:r>
      <w:r w:rsidR="0001599B" w:rsidRPr="00C879B0">
        <w:t xml:space="preserve">ance. </w:t>
      </w:r>
      <w:r w:rsidR="00F5026E">
        <w:t xml:space="preserve"> Very important to learn this as tests will refer to the normal balance of an account. </w:t>
      </w:r>
    </w:p>
    <w:p w:rsidR="00F5026E" w:rsidRDefault="007E2FE3">
      <w:r w:rsidRPr="007E2FE3">
        <w:drawing>
          <wp:inline distT="0" distB="0" distL="0" distR="0">
            <wp:extent cx="3800475" cy="2066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066925"/>
                    </a:xfrm>
                    <a:prstGeom prst="rect">
                      <a:avLst/>
                    </a:prstGeom>
                    <a:noFill/>
                    <a:ln>
                      <a:noFill/>
                    </a:ln>
                  </pic:spPr>
                </pic:pic>
              </a:graphicData>
            </a:graphic>
          </wp:inline>
        </w:drawing>
      </w:r>
    </w:p>
    <w:p w:rsidR="007E2FE3" w:rsidRDefault="007E2FE3">
      <w:r>
        <w:br w:type="page"/>
      </w:r>
    </w:p>
    <w:p w:rsidR="00147B53" w:rsidRPr="00C879B0" w:rsidRDefault="00147B53" w:rsidP="00196B4C">
      <w:pPr>
        <w:jc w:val="both"/>
      </w:pPr>
      <w:bookmarkStart w:id="0" w:name="_GoBack"/>
      <w:bookmarkEnd w:id="0"/>
      <w:r w:rsidRPr="00C879B0">
        <w:rPr>
          <w:noProof/>
        </w:rPr>
        <w:lastRenderedPageBreak/>
        <w:drawing>
          <wp:inline distT="0" distB="0" distL="0" distR="0" wp14:anchorId="7E6C6BE3" wp14:editId="2073DA3A">
            <wp:extent cx="229362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533400"/>
                    </a:xfrm>
                    <a:prstGeom prst="rect">
                      <a:avLst/>
                    </a:prstGeom>
                    <a:noFill/>
                    <a:ln>
                      <a:noFill/>
                    </a:ln>
                  </pic:spPr>
                </pic:pic>
              </a:graphicData>
            </a:graphic>
          </wp:inline>
        </w:drawing>
      </w:r>
    </w:p>
    <w:p w:rsidR="00147B53" w:rsidRPr="00C879B0" w:rsidRDefault="00147B53" w:rsidP="00196B4C">
      <w:pPr>
        <w:jc w:val="both"/>
      </w:pPr>
      <w:r w:rsidRPr="00C879B0">
        <w:t>Using cash as an example, when cash increases, the increase is reflected on the l</w:t>
      </w:r>
      <w:r w:rsidR="00685B9C" w:rsidRPr="00C879B0">
        <w:t xml:space="preserve">eft or debit side; therefore, </w:t>
      </w:r>
      <w:r w:rsidRPr="00C879B0">
        <w:t xml:space="preserve">increases </w:t>
      </w:r>
      <w:r w:rsidR="00685B9C" w:rsidRPr="00C879B0">
        <w:t xml:space="preserve">in </w:t>
      </w:r>
      <w:r w:rsidRPr="00C879B0">
        <w:t>cash are recorded with a debit.  When cash decreases, the decrease is reflected on the ri</w:t>
      </w:r>
      <w:r w:rsidR="00685B9C" w:rsidRPr="00C879B0">
        <w:t>ght or credit side; therefore,</w:t>
      </w:r>
      <w:r w:rsidRPr="00C879B0">
        <w:t xml:space="preserve"> decreases in cash are recorded with a credit.  </w:t>
      </w:r>
    </w:p>
    <w:p w:rsidR="00147B53" w:rsidRPr="00C879B0" w:rsidRDefault="00147B53" w:rsidP="00196B4C">
      <w:pPr>
        <w:jc w:val="both"/>
      </w:pPr>
      <w:r w:rsidRPr="00C879B0">
        <w:rPr>
          <w:noProof/>
        </w:rPr>
        <w:drawing>
          <wp:inline distT="0" distB="0" distL="0" distR="0" wp14:anchorId="1787B92A" wp14:editId="4CD74EC8">
            <wp:extent cx="229362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533400"/>
                    </a:xfrm>
                    <a:prstGeom prst="rect">
                      <a:avLst/>
                    </a:prstGeom>
                    <a:noFill/>
                    <a:ln>
                      <a:noFill/>
                    </a:ln>
                  </pic:spPr>
                </pic:pic>
              </a:graphicData>
            </a:graphic>
          </wp:inline>
        </w:drawing>
      </w:r>
    </w:p>
    <w:p w:rsidR="00147B53" w:rsidRPr="00C879B0" w:rsidRDefault="00147B53" w:rsidP="00196B4C">
      <w:pPr>
        <w:jc w:val="both"/>
      </w:pPr>
      <w:r w:rsidRPr="00C879B0">
        <w:t>Using accounts payable as an example, when accounts payable increase, the increase is reflected on the ri</w:t>
      </w:r>
      <w:r w:rsidR="00685B9C" w:rsidRPr="00C879B0">
        <w:t>ght or credit side; therefore,</w:t>
      </w:r>
      <w:r w:rsidRPr="00C879B0">
        <w:t xml:space="preserve"> increases in accounts payable are recorded with a credit. When accounts payable decrease, the decrease is refl</w:t>
      </w:r>
      <w:r w:rsidR="00685B9C" w:rsidRPr="00C879B0">
        <w:t xml:space="preserve">ected on the left or debit side; therefore, </w:t>
      </w:r>
      <w:r w:rsidRPr="00C879B0">
        <w:t>decreases in accounts payable are recorded with a debit.</w:t>
      </w:r>
      <w:r w:rsidR="00685B9C" w:rsidRPr="00C879B0">
        <w:t xml:space="preserve"> When you charge AP increases. When you pay the bill, AP decreases.</w:t>
      </w:r>
    </w:p>
    <w:p w:rsidR="00AE11DB" w:rsidRPr="00C879B0" w:rsidRDefault="00E64F82" w:rsidP="00196B4C">
      <w:pPr>
        <w:jc w:val="both"/>
        <w:rPr>
          <w:b/>
        </w:rPr>
      </w:pPr>
      <w:r w:rsidRPr="00C879B0">
        <w:rPr>
          <w:b/>
        </w:rPr>
        <w:t xml:space="preserve">The Chart of Accounts  </w:t>
      </w:r>
    </w:p>
    <w:p w:rsidR="00826783" w:rsidRPr="00C879B0" w:rsidRDefault="00E64F82" w:rsidP="00F5026E">
      <w:pPr>
        <w:jc w:val="both"/>
      </w:pPr>
      <w:r w:rsidRPr="00C879B0">
        <w:t>Every company will maintain a chart of accounts which is a listing of all accounts grouped by type such as asset, liability, owner’s equity, revenue and expense.  The accounts are numbered by type.  A conventional numbering system is 100’s for assets, 200’s for liabilities, 300 for owner’ equity, 400 for</w:t>
      </w:r>
      <w:r w:rsidR="00AE11DB" w:rsidRPr="00C879B0">
        <w:t xml:space="preserve"> revenue and 500 for expenses. </w:t>
      </w:r>
    </w:p>
    <w:p w:rsidR="00AC626E" w:rsidRPr="00C879B0" w:rsidRDefault="00E64F82" w:rsidP="00196B4C">
      <w:pPr>
        <w:jc w:val="both"/>
        <w:rPr>
          <w:b/>
        </w:rPr>
      </w:pPr>
      <w:r w:rsidRPr="00C879B0">
        <w:rPr>
          <w:b/>
        </w:rPr>
        <w:br w:type="page"/>
      </w:r>
      <w:r w:rsidR="00AC626E" w:rsidRPr="00C879B0">
        <w:rPr>
          <w:b/>
        </w:rPr>
        <w:lastRenderedPageBreak/>
        <w:t>Recording transactions</w:t>
      </w:r>
      <w:r w:rsidR="00AA66C1" w:rsidRPr="00C879B0">
        <w:rPr>
          <w:b/>
        </w:rPr>
        <w:t xml:space="preserve"> – Journal Entries</w:t>
      </w:r>
    </w:p>
    <w:p w:rsidR="00AC626E" w:rsidRPr="00C879B0" w:rsidRDefault="00AC626E" w:rsidP="00196B4C">
      <w:pPr>
        <w:jc w:val="both"/>
      </w:pPr>
      <w:r w:rsidRPr="00C879B0">
        <w:t xml:space="preserve">Although we used a one-page expanded accounting equation format to record transactions in Chapter 1, this format is not used in practice.  Its purpose was to show you how information flows and was useful to see everything on one page.  However as the number of accounts expand; you could easily see this format is unwieldy.  Instead, companies use a daily diary of all transactions called a general journal.  The amounts from the general journal are then transferred to the general ledger.  </w:t>
      </w:r>
    </w:p>
    <w:p w:rsidR="004735DE" w:rsidRPr="00C879B0" w:rsidRDefault="004735DE" w:rsidP="00196B4C">
      <w:pPr>
        <w:pBdr>
          <w:bottom w:val="single" w:sz="6" w:space="1" w:color="auto"/>
          <w:between w:val="single" w:sz="6" w:space="1" w:color="auto"/>
        </w:pBdr>
        <w:tabs>
          <w:tab w:val="center" w:pos="5040"/>
          <w:tab w:val="left" w:pos="9000"/>
        </w:tabs>
        <w:spacing w:after="0" w:line="320" w:lineRule="exact"/>
        <w:jc w:val="both"/>
        <w:rPr>
          <w:rFonts w:eastAsia="Times New Roman"/>
          <w:b/>
        </w:rPr>
      </w:pPr>
      <w:r w:rsidRPr="00C879B0">
        <w:rPr>
          <w:rFonts w:eastAsia="Times New Roman"/>
          <w:b/>
        </w:rPr>
        <w:tab/>
        <w:t>JOURNAL</w:t>
      </w:r>
      <w:r w:rsidRPr="00C879B0">
        <w:rPr>
          <w:rFonts w:eastAsia="Times New Roman"/>
          <w:b/>
        </w:rPr>
        <w:tab/>
      </w:r>
    </w:p>
    <w:p w:rsidR="004735DE" w:rsidRPr="00C879B0" w:rsidRDefault="004735DE" w:rsidP="00196B4C">
      <w:pPr>
        <w:pBdr>
          <w:bottom w:val="double" w:sz="6" w:space="1" w:color="auto"/>
        </w:pBdr>
        <w:tabs>
          <w:tab w:val="center" w:pos="5040"/>
          <w:tab w:val="left" w:pos="9000"/>
        </w:tabs>
        <w:spacing w:after="0" w:line="240" w:lineRule="auto"/>
        <w:jc w:val="both"/>
        <w:rPr>
          <w:rFonts w:eastAsia="Times New Roman"/>
          <w:caps/>
        </w:rPr>
      </w:pPr>
    </w:p>
    <w:tbl>
      <w:tblPr>
        <w:tblW w:w="10161"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
        <w:gridCol w:w="547"/>
        <w:gridCol w:w="346"/>
        <w:gridCol w:w="5378"/>
        <w:gridCol w:w="547"/>
        <w:gridCol w:w="547"/>
        <w:gridCol w:w="187"/>
        <w:gridCol w:w="187"/>
        <w:gridCol w:w="187"/>
        <w:gridCol w:w="346"/>
        <w:gridCol w:w="547"/>
        <w:gridCol w:w="187"/>
        <w:gridCol w:w="187"/>
        <w:gridCol w:w="187"/>
        <w:gridCol w:w="349"/>
        <w:gridCol w:w="216"/>
      </w:tblGrid>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p>
        </w:tc>
        <w:tc>
          <w:tcPr>
            <w:tcW w:w="893" w:type="dxa"/>
            <w:gridSpan w:val="2"/>
            <w:tcBorders>
              <w:top w:val="nil"/>
              <w:left w:val="double" w:sz="6" w:space="0" w:color="auto"/>
              <w:bottom w:val="single" w:sz="6" w:space="0" w:color="auto"/>
              <w:right w:val="nil"/>
            </w:tcBorders>
          </w:tcPr>
          <w:p w:rsidR="004735DE" w:rsidRPr="00C879B0" w:rsidRDefault="004735DE" w:rsidP="00196B4C">
            <w:pPr>
              <w:spacing w:before="120" w:after="0" w:line="200" w:lineRule="exact"/>
              <w:jc w:val="both"/>
              <w:rPr>
                <w:rFonts w:eastAsia="Times New Roman"/>
                <w:caps/>
              </w:rPr>
            </w:pPr>
            <w:r w:rsidRPr="00C879B0">
              <w:rPr>
                <w:rFonts w:eastAsia="Times New Roman"/>
                <w:caps/>
              </w:rPr>
              <w:t>date</w:t>
            </w:r>
          </w:p>
        </w:tc>
        <w:tc>
          <w:tcPr>
            <w:tcW w:w="5378" w:type="dxa"/>
            <w:tcBorders>
              <w:top w:val="nil"/>
              <w:right w:val="nil"/>
            </w:tcBorders>
          </w:tcPr>
          <w:p w:rsidR="004735DE" w:rsidRPr="00C879B0" w:rsidRDefault="004735DE" w:rsidP="00196B4C">
            <w:pPr>
              <w:spacing w:before="120" w:after="0" w:line="200" w:lineRule="exact"/>
              <w:jc w:val="both"/>
              <w:rPr>
                <w:rFonts w:eastAsia="Times New Roman"/>
                <w:caps/>
              </w:rPr>
            </w:pPr>
            <w:r w:rsidRPr="00C879B0">
              <w:rPr>
                <w:rFonts w:eastAsia="Times New Roman"/>
                <w:caps/>
              </w:rPr>
              <w:t>description</w:t>
            </w:r>
          </w:p>
        </w:tc>
        <w:tc>
          <w:tcPr>
            <w:tcW w:w="547" w:type="dxa"/>
            <w:tcBorders>
              <w:top w:val="nil"/>
              <w:right w:val="nil"/>
            </w:tcBorders>
          </w:tcPr>
          <w:p w:rsidR="004735DE" w:rsidRPr="00C879B0" w:rsidRDefault="004735DE" w:rsidP="00196B4C">
            <w:pPr>
              <w:spacing w:after="0" w:line="200" w:lineRule="exact"/>
              <w:jc w:val="both"/>
              <w:rPr>
                <w:rFonts w:eastAsia="Times New Roman"/>
                <w:caps/>
              </w:rPr>
            </w:pPr>
            <w:r w:rsidRPr="00C879B0">
              <w:rPr>
                <w:rFonts w:eastAsia="Times New Roman"/>
                <w:caps/>
              </w:rPr>
              <w:t>POST. ref.</w:t>
            </w:r>
          </w:p>
        </w:tc>
        <w:tc>
          <w:tcPr>
            <w:tcW w:w="1454" w:type="dxa"/>
            <w:gridSpan w:val="5"/>
            <w:tcBorders>
              <w:top w:val="nil"/>
              <w:left w:val="double" w:sz="6" w:space="0" w:color="auto"/>
              <w:bottom w:val="single" w:sz="6" w:space="0" w:color="auto"/>
              <w:right w:val="nil"/>
            </w:tcBorders>
          </w:tcPr>
          <w:p w:rsidR="004735DE" w:rsidRPr="00C879B0" w:rsidRDefault="004735DE" w:rsidP="00196B4C">
            <w:pPr>
              <w:spacing w:before="120" w:after="0" w:line="200" w:lineRule="exact"/>
              <w:jc w:val="both"/>
              <w:rPr>
                <w:rFonts w:eastAsia="Times New Roman"/>
                <w:caps/>
              </w:rPr>
            </w:pPr>
            <w:r w:rsidRPr="00C879B0">
              <w:rPr>
                <w:rFonts w:eastAsia="Times New Roman"/>
                <w:caps/>
              </w:rPr>
              <w:t>debit</w:t>
            </w:r>
          </w:p>
        </w:tc>
        <w:tc>
          <w:tcPr>
            <w:tcW w:w="1457" w:type="dxa"/>
            <w:gridSpan w:val="5"/>
            <w:tcBorders>
              <w:top w:val="nil"/>
              <w:left w:val="double" w:sz="6" w:space="0" w:color="auto"/>
              <w:bottom w:val="single" w:sz="6" w:space="0" w:color="auto"/>
              <w:right w:val="nil"/>
            </w:tcBorders>
          </w:tcPr>
          <w:p w:rsidR="004735DE" w:rsidRPr="00C879B0" w:rsidRDefault="004735DE" w:rsidP="00196B4C">
            <w:pPr>
              <w:spacing w:before="120" w:after="0" w:line="200" w:lineRule="exact"/>
              <w:jc w:val="both"/>
              <w:rPr>
                <w:rFonts w:eastAsia="Times New Roman"/>
                <w:caps/>
              </w:rPr>
            </w:pPr>
            <w:r w:rsidRPr="00C879B0">
              <w:rPr>
                <w:rFonts w:eastAsia="Times New Roman"/>
                <w:caps/>
              </w:rPr>
              <w:t>credit</w:t>
            </w:r>
          </w:p>
        </w:tc>
        <w:tc>
          <w:tcPr>
            <w:tcW w:w="216" w:type="dxa"/>
            <w:tcBorders>
              <w:top w:val="nil"/>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1</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after="0" w:line="18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1</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2</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2</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3</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3</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4</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4</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5</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5</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6</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6</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7</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7</w:t>
            </w:r>
          </w:p>
        </w:tc>
      </w:tr>
      <w:tr w:rsidR="004735DE" w:rsidRPr="00C879B0" w:rsidTr="004735DE">
        <w:tc>
          <w:tcPr>
            <w:tcW w:w="216" w:type="dxa"/>
            <w:tcBorders>
              <w:right w:val="nil"/>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8</w:t>
            </w: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jc w:val="both"/>
              <w:rPr>
                <w:rFonts w:eastAsia="Times New Roman"/>
                <w:i/>
              </w:rPr>
            </w:pPr>
          </w:p>
        </w:tc>
        <w:tc>
          <w:tcPr>
            <w:tcW w:w="346"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5378" w:type="dxa"/>
            <w:tcBorders>
              <w:right w:val="nil"/>
            </w:tcBorders>
          </w:tcPr>
          <w:p w:rsidR="004735DE" w:rsidRPr="00C879B0" w:rsidRDefault="004735DE" w:rsidP="00196B4C">
            <w:pPr>
              <w:tabs>
                <w:tab w:val="left" w:pos="432"/>
              </w:tabs>
              <w:spacing w:before="60" w:after="0" w:line="260" w:lineRule="exact"/>
              <w:ind w:left="144"/>
              <w:jc w:val="both"/>
              <w:rPr>
                <w:rFonts w:eastAsia="Times New Roman"/>
                <w:b/>
                <w:i/>
              </w:rPr>
            </w:pPr>
          </w:p>
        </w:tc>
        <w:tc>
          <w:tcPr>
            <w:tcW w:w="547" w:type="dxa"/>
            <w:tcBorders>
              <w:right w:val="nil"/>
            </w:tcBorders>
          </w:tcPr>
          <w:p w:rsidR="004735DE" w:rsidRPr="00C879B0" w:rsidRDefault="004735DE" w:rsidP="00196B4C">
            <w:pPr>
              <w:spacing w:before="60" w:after="0" w:line="260" w:lineRule="exact"/>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346" w:type="dxa"/>
            <w:tcBorders>
              <w:top w:val="single" w:sz="6" w:space="0" w:color="auto"/>
              <w:left w:val="sing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547" w:type="dxa"/>
            <w:tcBorders>
              <w:top w:val="single" w:sz="6" w:space="0" w:color="auto"/>
              <w:left w:val="double" w:sz="6" w:space="0" w:color="auto"/>
              <w:bottom w:val="single" w:sz="6" w:space="0" w:color="auto"/>
              <w:right w:val="nil"/>
            </w:tcBorders>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187" w:type="dxa"/>
          </w:tcPr>
          <w:p w:rsidR="004735DE" w:rsidRPr="00C879B0" w:rsidRDefault="004735DE" w:rsidP="00196B4C">
            <w:pPr>
              <w:spacing w:before="60" w:after="0" w:line="260" w:lineRule="exact"/>
              <w:ind w:right="43"/>
              <w:jc w:val="both"/>
              <w:rPr>
                <w:rFonts w:eastAsia="Times New Roman"/>
                <w:b/>
                <w:i/>
              </w:rPr>
            </w:pPr>
          </w:p>
        </w:tc>
        <w:tc>
          <w:tcPr>
            <w:tcW w:w="349" w:type="dxa"/>
            <w:tcBorders>
              <w:right w:val="nil"/>
            </w:tcBorders>
          </w:tcPr>
          <w:p w:rsidR="004735DE" w:rsidRPr="00C879B0" w:rsidRDefault="004735DE" w:rsidP="00196B4C">
            <w:pPr>
              <w:spacing w:before="60" w:after="0" w:line="260" w:lineRule="exact"/>
              <w:ind w:right="43"/>
              <w:jc w:val="both"/>
              <w:rPr>
                <w:rFonts w:eastAsia="Times New Roman"/>
                <w:b/>
                <w:i/>
              </w:rPr>
            </w:pPr>
          </w:p>
        </w:tc>
        <w:tc>
          <w:tcPr>
            <w:tcW w:w="216" w:type="dxa"/>
            <w:tcBorders>
              <w:top w:val="single" w:sz="6" w:space="0" w:color="auto"/>
              <w:left w:val="double" w:sz="6" w:space="0" w:color="auto"/>
              <w:bottom w:val="single" w:sz="6" w:space="0" w:color="auto"/>
            </w:tcBorders>
          </w:tcPr>
          <w:p w:rsidR="004735DE" w:rsidRPr="00C879B0" w:rsidRDefault="004735DE" w:rsidP="00196B4C">
            <w:pPr>
              <w:spacing w:before="60" w:after="0" w:line="260" w:lineRule="exact"/>
              <w:ind w:right="43"/>
              <w:jc w:val="both"/>
              <w:rPr>
                <w:rFonts w:eastAsia="Times New Roman"/>
                <w:b/>
              </w:rPr>
            </w:pPr>
            <w:r w:rsidRPr="00C879B0">
              <w:rPr>
                <w:rFonts w:eastAsia="Times New Roman"/>
                <w:b/>
              </w:rPr>
              <w:t>8</w:t>
            </w:r>
          </w:p>
        </w:tc>
      </w:tr>
    </w:tbl>
    <w:p w:rsidR="004E637B" w:rsidRPr="00C879B0" w:rsidRDefault="004E637B" w:rsidP="00196B4C">
      <w:pPr>
        <w:jc w:val="both"/>
      </w:pPr>
    </w:p>
    <w:p w:rsidR="004735DE" w:rsidRPr="00C879B0" w:rsidRDefault="004735DE" w:rsidP="00196B4C">
      <w:pPr>
        <w:jc w:val="both"/>
      </w:pPr>
      <w:r w:rsidRPr="00C879B0">
        <w:t>In the general journal, the date is recorded first.  Then the account is listed such as cash, accounts receivable, accounts payable, etc.  The posting reference would be used once the amounts are transferred to the general ledger for help in locating where the information can be found</w:t>
      </w:r>
      <w:r w:rsidR="00E64F82" w:rsidRPr="00C879B0">
        <w:t>.  The posting reference is the account number from the chart of accounts</w:t>
      </w:r>
      <w:r w:rsidRPr="00C879B0">
        <w:t xml:space="preserve">.  Then, the debit </w:t>
      </w:r>
      <w:r w:rsidR="00C349BB" w:rsidRPr="00C879B0">
        <w:t xml:space="preserve">is entered first as an absolute number (no minuses or parentheses).  </w:t>
      </w:r>
      <w:r w:rsidR="00C349BB" w:rsidRPr="00C879B0">
        <w:rPr>
          <w:b/>
        </w:rPr>
        <w:t xml:space="preserve">The debit always goes first whether it is increasing or decreasing the account.  </w:t>
      </w:r>
      <w:r w:rsidR="00C349BB" w:rsidRPr="00C879B0">
        <w:t xml:space="preserve">Then on the next line, </w:t>
      </w:r>
      <w:r w:rsidR="00C349BB" w:rsidRPr="00C879B0">
        <w:rPr>
          <w:b/>
        </w:rPr>
        <w:t xml:space="preserve">there is an indentation of a few spaces </w:t>
      </w:r>
      <w:r w:rsidR="00C349BB" w:rsidRPr="00C879B0">
        <w:t>and the credit amount is entered</w:t>
      </w:r>
      <w:r w:rsidR="00E64F82" w:rsidRPr="00C879B0">
        <w:t xml:space="preserve"> as an absolute number</w:t>
      </w:r>
      <w:r w:rsidR="00C349BB" w:rsidRPr="00C879B0">
        <w:t xml:space="preserve">.  There must be at least one debit and at least one credit associated with each transaction—though there could be more than one debit or credit.  On the third line a brief description is added as a reminder and for other users of the document.  </w:t>
      </w:r>
    </w:p>
    <w:p w:rsidR="00C349BB" w:rsidRPr="00C879B0" w:rsidRDefault="0053760A" w:rsidP="00196B4C">
      <w:pPr>
        <w:jc w:val="both"/>
      </w:pPr>
      <w:r w:rsidRPr="00C879B0">
        <w:rPr>
          <w:noProof/>
        </w:rPr>
        <w:drawing>
          <wp:inline distT="0" distB="0" distL="0" distR="0" wp14:anchorId="7AF63647" wp14:editId="528D4A03">
            <wp:extent cx="2529840" cy="17678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1767840"/>
                    </a:xfrm>
                    <a:prstGeom prst="rect">
                      <a:avLst/>
                    </a:prstGeom>
                    <a:noFill/>
                    <a:ln>
                      <a:noFill/>
                    </a:ln>
                  </pic:spPr>
                </pic:pic>
              </a:graphicData>
            </a:graphic>
          </wp:inline>
        </w:drawing>
      </w:r>
    </w:p>
    <w:p w:rsidR="0053760A" w:rsidRPr="00C879B0" w:rsidRDefault="0053760A" w:rsidP="00196B4C">
      <w:pPr>
        <w:jc w:val="both"/>
      </w:pPr>
      <w:r w:rsidRPr="00C879B0">
        <w:t>This is an example that does not contain a date or descriptions.</w:t>
      </w:r>
      <w:r w:rsidR="00F5026E">
        <w:t xml:space="preserve">  For the sake of brevity, we will not use dates and descriptions in this course. </w:t>
      </w:r>
    </w:p>
    <w:p w:rsidR="00E64F82" w:rsidRPr="00C879B0" w:rsidRDefault="00E64F82" w:rsidP="00196B4C">
      <w:pPr>
        <w:jc w:val="both"/>
        <w:rPr>
          <w:b/>
        </w:rPr>
      </w:pPr>
      <w:r w:rsidRPr="00C879B0">
        <w:rPr>
          <w:b/>
        </w:rPr>
        <w:br w:type="page"/>
      </w:r>
    </w:p>
    <w:p w:rsidR="0053760A" w:rsidRPr="00C879B0" w:rsidRDefault="0053760A" w:rsidP="00196B4C">
      <w:pPr>
        <w:jc w:val="both"/>
        <w:rPr>
          <w:b/>
        </w:rPr>
      </w:pPr>
      <w:r w:rsidRPr="00C879B0">
        <w:rPr>
          <w:b/>
        </w:rPr>
        <w:lastRenderedPageBreak/>
        <w:t>Posting to the General Ledger</w:t>
      </w:r>
    </w:p>
    <w:p w:rsidR="0053760A" w:rsidRPr="00C879B0" w:rsidRDefault="0053760A" w:rsidP="00196B4C">
      <w:pPr>
        <w:jc w:val="both"/>
      </w:pPr>
      <w:r w:rsidRPr="00C879B0">
        <w:t>The amounts from the general journal are then transferred to the general ledger usually journal entry by journal entry to ensure accuracy.</w:t>
      </w:r>
    </w:p>
    <w:p w:rsidR="0053760A" w:rsidRPr="00C879B0" w:rsidRDefault="0053760A" w:rsidP="00196B4C">
      <w:pPr>
        <w:jc w:val="both"/>
      </w:pPr>
      <w:r w:rsidRPr="00C879B0">
        <w:t xml:space="preserve">This process continues until it is time to prepare financial statements.  When it is time to prepare financial statements, the T accounts or general ledger balances must be </w:t>
      </w:r>
      <w:r w:rsidR="00996E73" w:rsidRPr="00C879B0">
        <w:t>determined.  Since we are using T accounts instead of a general ledger, we will follow these three rules to determine the balance in the T account.</w:t>
      </w:r>
    </w:p>
    <w:p w:rsidR="00996E73" w:rsidRPr="00C879B0" w:rsidRDefault="00996E73" w:rsidP="00196B4C">
      <w:pPr>
        <w:jc w:val="both"/>
        <w:rPr>
          <w:b/>
        </w:rPr>
      </w:pPr>
      <w:r w:rsidRPr="00C879B0">
        <w:rPr>
          <w:b/>
        </w:rPr>
        <w:t>Rules for determining T Account balances:</w:t>
      </w:r>
    </w:p>
    <w:p w:rsidR="00996E73" w:rsidRPr="00C879B0" w:rsidRDefault="00996E73" w:rsidP="00196B4C">
      <w:pPr>
        <w:pStyle w:val="ListParagraph"/>
        <w:numPr>
          <w:ilvl w:val="0"/>
          <w:numId w:val="1"/>
        </w:numPr>
        <w:jc w:val="both"/>
      </w:pPr>
      <w:r w:rsidRPr="00C879B0">
        <w:t>Add up all the debits</w:t>
      </w:r>
    </w:p>
    <w:p w:rsidR="00996E73" w:rsidRPr="00C879B0" w:rsidRDefault="00996E73" w:rsidP="00196B4C">
      <w:pPr>
        <w:pStyle w:val="ListParagraph"/>
        <w:numPr>
          <w:ilvl w:val="0"/>
          <w:numId w:val="1"/>
        </w:numPr>
        <w:jc w:val="both"/>
      </w:pPr>
      <w:r w:rsidRPr="00C879B0">
        <w:t>Add up all the credits</w:t>
      </w:r>
    </w:p>
    <w:p w:rsidR="00996E73" w:rsidRPr="00C879B0" w:rsidRDefault="00996E73" w:rsidP="00196B4C">
      <w:pPr>
        <w:pStyle w:val="ListParagraph"/>
        <w:numPr>
          <w:ilvl w:val="0"/>
          <w:numId w:val="1"/>
        </w:numPr>
        <w:jc w:val="both"/>
      </w:pPr>
      <w:r w:rsidRPr="00C879B0">
        <w:t>Take the smaller from the larger.  This is the balance.</w:t>
      </w:r>
    </w:p>
    <w:p w:rsidR="00996E73" w:rsidRPr="00C879B0" w:rsidRDefault="00996E73" w:rsidP="00196B4C">
      <w:pPr>
        <w:pStyle w:val="ListParagraph"/>
        <w:jc w:val="both"/>
      </w:pPr>
    </w:p>
    <w:p w:rsidR="00996E73" w:rsidRPr="00C879B0" w:rsidRDefault="00996E73" w:rsidP="00196B4C">
      <w:pPr>
        <w:pStyle w:val="ListParagraph"/>
        <w:jc w:val="both"/>
      </w:pPr>
    </w:p>
    <w:p w:rsidR="00996E73" w:rsidRPr="00C879B0" w:rsidRDefault="00927ACC" w:rsidP="00196B4C">
      <w:pPr>
        <w:pStyle w:val="ListParagraph"/>
        <w:jc w:val="both"/>
      </w:pPr>
      <w:r w:rsidRPr="00C879B0">
        <w:rPr>
          <w:noProof/>
        </w:rPr>
        <w:drawing>
          <wp:inline distT="0" distB="0" distL="0" distR="0" wp14:anchorId="115D37A0" wp14:editId="402BA322">
            <wp:extent cx="181356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2286000"/>
                    </a:xfrm>
                    <a:prstGeom prst="rect">
                      <a:avLst/>
                    </a:prstGeom>
                    <a:noFill/>
                    <a:ln>
                      <a:noFill/>
                    </a:ln>
                  </pic:spPr>
                </pic:pic>
              </a:graphicData>
            </a:graphic>
          </wp:inline>
        </w:drawing>
      </w:r>
    </w:p>
    <w:p w:rsidR="0001599B" w:rsidRPr="00C879B0" w:rsidRDefault="0001599B" w:rsidP="00196B4C">
      <w:pPr>
        <w:jc w:val="both"/>
        <w:rPr>
          <w:b/>
        </w:rPr>
      </w:pPr>
      <w:r w:rsidRPr="00C879B0">
        <w:rPr>
          <w:b/>
        </w:rPr>
        <w:br w:type="page"/>
      </w:r>
    </w:p>
    <w:p w:rsidR="00AA66C1" w:rsidRPr="00C879B0" w:rsidRDefault="00AA66C1" w:rsidP="00196B4C">
      <w:pPr>
        <w:pStyle w:val="ListParagraph"/>
        <w:ind w:left="0"/>
        <w:jc w:val="both"/>
        <w:rPr>
          <w:b/>
        </w:rPr>
      </w:pPr>
      <w:r w:rsidRPr="00C879B0">
        <w:rPr>
          <w:b/>
        </w:rPr>
        <w:lastRenderedPageBreak/>
        <w:t>The Unadjusted Trial Balance</w:t>
      </w:r>
    </w:p>
    <w:p w:rsidR="00996E73" w:rsidRPr="00C879B0" w:rsidRDefault="00AA66C1" w:rsidP="00196B4C">
      <w:pPr>
        <w:pStyle w:val="ListParagraph"/>
        <w:ind w:left="0"/>
        <w:jc w:val="both"/>
      </w:pPr>
      <w:r w:rsidRPr="00C879B0">
        <w:t xml:space="preserve">Once each T account’s balance has been determined, then it is time to make sure </w:t>
      </w:r>
      <w:r w:rsidR="0001599B" w:rsidRPr="00C879B0">
        <w:t xml:space="preserve">all the debits equal the credits and that </w:t>
      </w:r>
      <w:r w:rsidR="0001599B" w:rsidRPr="00283DD0">
        <w:rPr>
          <w:b/>
        </w:rPr>
        <w:t>all account balances are normal balances</w:t>
      </w:r>
      <w:r w:rsidR="0001599B" w:rsidRPr="00C879B0">
        <w:t xml:space="preserve">.  </w:t>
      </w:r>
    </w:p>
    <w:p w:rsidR="0001599B" w:rsidRPr="00C879B0" w:rsidRDefault="0001599B" w:rsidP="00196B4C">
      <w:pPr>
        <w:pStyle w:val="ListParagraph"/>
        <w:ind w:left="0"/>
        <w:jc w:val="both"/>
      </w:pPr>
    </w:p>
    <w:p w:rsidR="007E1D3D" w:rsidRPr="00C879B0" w:rsidRDefault="0001599B" w:rsidP="007E1D3D">
      <w:pPr>
        <w:jc w:val="both"/>
        <w:rPr>
          <w:rFonts w:eastAsia="Times New Roman"/>
          <w:b/>
        </w:rPr>
      </w:pPr>
      <w:r w:rsidRPr="00C879B0">
        <w:rPr>
          <w:noProof/>
        </w:rPr>
        <w:drawing>
          <wp:inline distT="0" distB="0" distL="0" distR="0" wp14:anchorId="651E170E" wp14:editId="4E676DC5">
            <wp:extent cx="2712720" cy="3535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3535680"/>
                    </a:xfrm>
                    <a:prstGeom prst="rect">
                      <a:avLst/>
                    </a:prstGeom>
                    <a:noFill/>
                    <a:ln>
                      <a:noFill/>
                    </a:ln>
                  </pic:spPr>
                </pic:pic>
              </a:graphicData>
            </a:graphic>
          </wp:inline>
        </w:drawing>
      </w:r>
    </w:p>
    <w:p w:rsidR="00927ACC" w:rsidRPr="00C879B0" w:rsidRDefault="00927ACC" w:rsidP="00196B4C">
      <w:pPr>
        <w:jc w:val="both"/>
        <w:rPr>
          <w:rFonts w:eastAsia="Times New Roman"/>
          <w:b/>
        </w:rPr>
      </w:pPr>
    </w:p>
    <w:sectPr w:rsidR="00927ACC" w:rsidRPr="00C879B0" w:rsidSect="00147B5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4034"/>
    <w:multiLevelType w:val="hybridMultilevel"/>
    <w:tmpl w:val="AFAA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6F"/>
    <w:rsid w:val="0001599B"/>
    <w:rsid w:val="00147B53"/>
    <w:rsid w:val="00196B4C"/>
    <w:rsid w:val="00283DD0"/>
    <w:rsid w:val="003F3446"/>
    <w:rsid w:val="004735DE"/>
    <w:rsid w:val="004E637B"/>
    <w:rsid w:val="0053760A"/>
    <w:rsid w:val="00675CE1"/>
    <w:rsid w:val="00685B9C"/>
    <w:rsid w:val="007E1D3D"/>
    <w:rsid w:val="007E2FE3"/>
    <w:rsid w:val="00826783"/>
    <w:rsid w:val="00866E6F"/>
    <w:rsid w:val="00927ACC"/>
    <w:rsid w:val="00996E73"/>
    <w:rsid w:val="00A17115"/>
    <w:rsid w:val="00AA66C1"/>
    <w:rsid w:val="00AC626E"/>
    <w:rsid w:val="00AE0253"/>
    <w:rsid w:val="00AE11DB"/>
    <w:rsid w:val="00BF5651"/>
    <w:rsid w:val="00C349BB"/>
    <w:rsid w:val="00C36FEF"/>
    <w:rsid w:val="00C879B0"/>
    <w:rsid w:val="00D5046F"/>
    <w:rsid w:val="00D806F5"/>
    <w:rsid w:val="00DE048A"/>
    <w:rsid w:val="00E15EE3"/>
    <w:rsid w:val="00E64F82"/>
    <w:rsid w:val="00F5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7ACC"/>
    <w:pPr>
      <w:keepNext/>
      <w:spacing w:before="240" w:after="60" w:line="240" w:lineRule="auto"/>
      <w:outlineLvl w:val="0"/>
    </w:pPr>
    <w:rPr>
      <w:rFonts w:ascii="Arial" w:eastAsia="Times New Roman" w:hAnsi="Arial"/>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7B"/>
    <w:rPr>
      <w:rFonts w:ascii="Tahoma" w:hAnsi="Tahoma" w:cs="Tahoma"/>
      <w:sz w:val="16"/>
      <w:szCs w:val="16"/>
    </w:rPr>
  </w:style>
  <w:style w:type="paragraph" w:styleId="ListParagraph">
    <w:name w:val="List Paragraph"/>
    <w:basedOn w:val="Normal"/>
    <w:uiPriority w:val="34"/>
    <w:qFormat/>
    <w:rsid w:val="00996E73"/>
    <w:pPr>
      <w:ind w:left="720"/>
      <w:contextualSpacing/>
    </w:pPr>
  </w:style>
  <w:style w:type="character" w:customStyle="1" w:styleId="exercise-number">
    <w:name w:val="exercise-number"/>
    <w:basedOn w:val="DefaultParagraphFont"/>
    <w:rsid w:val="00826783"/>
  </w:style>
  <w:style w:type="paragraph" w:styleId="NormalWeb">
    <w:name w:val="Normal (Web)"/>
    <w:basedOn w:val="Normal"/>
    <w:uiPriority w:val="99"/>
    <w:semiHidden/>
    <w:unhideWhenUsed/>
    <w:rsid w:val="0082678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26783"/>
    <w:rPr>
      <w:i/>
      <w:iCs/>
    </w:rPr>
  </w:style>
  <w:style w:type="character" w:styleId="Hyperlink">
    <w:name w:val="Hyperlink"/>
    <w:basedOn w:val="DefaultParagraphFont"/>
    <w:uiPriority w:val="99"/>
    <w:semiHidden/>
    <w:unhideWhenUsed/>
    <w:rsid w:val="00826783"/>
    <w:rPr>
      <w:color w:val="0000FF"/>
      <w:u w:val="single"/>
    </w:rPr>
  </w:style>
  <w:style w:type="character" w:customStyle="1" w:styleId="Heading1Char">
    <w:name w:val="Heading 1 Char"/>
    <w:basedOn w:val="DefaultParagraphFont"/>
    <w:link w:val="Heading1"/>
    <w:rsid w:val="00927ACC"/>
    <w:rPr>
      <w:rFonts w:ascii="Arial" w:eastAsia="Times New Roman" w:hAnsi="Arial"/>
      <w:b/>
      <w:kern w:val="28"/>
      <w:sz w:val="24"/>
      <w:szCs w:val="20"/>
    </w:rPr>
  </w:style>
  <w:style w:type="paragraph" w:customStyle="1" w:styleId="StmentHalfTitle">
    <w:name w:val="Stment HalfTitle"/>
    <w:basedOn w:val="Normal"/>
    <w:rsid w:val="00927ACC"/>
    <w:pPr>
      <w:tabs>
        <w:tab w:val="center" w:pos="5040"/>
        <w:tab w:val="left" w:pos="9000"/>
      </w:tabs>
      <w:spacing w:after="0" w:line="240" w:lineRule="auto"/>
    </w:pPr>
    <w:rPr>
      <w:rFonts w:ascii="Arial" w:eastAsia="Times New Roman" w:hAnsi="Arial"/>
      <w:caps/>
      <w:sz w:val="12"/>
      <w:szCs w:val="20"/>
    </w:rPr>
  </w:style>
  <w:style w:type="paragraph" w:styleId="NoSpacing">
    <w:name w:val="No Spacing"/>
    <w:uiPriority w:val="1"/>
    <w:qFormat/>
    <w:rsid w:val="00927ACC"/>
    <w:pPr>
      <w:spacing w:after="0" w:line="240" w:lineRule="auto"/>
    </w:pPr>
  </w:style>
  <w:style w:type="character" w:customStyle="1" w:styleId="exercise-title">
    <w:name w:val="exercise-title"/>
    <w:basedOn w:val="DefaultParagraphFont"/>
    <w:rsid w:val="00DE0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7ACC"/>
    <w:pPr>
      <w:keepNext/>
      <w:spacing w:before="240" w:after="60" w:line="240" w:lineRule="auto"/>
      <w:outlineLvl w:val="0"/>
    </w:pPr>
    <w:rPr>
      <w:rFonts w:ascii="Arial" w:eastAsia="Times New Roman" w:hAnsi="Arial"/>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7B"/>
    <w:rPr>
      <w:rFonts w:ascii="Tahoma" w:hAnsi="Tahoma" w:cs="Tahoma"/>
      <w:sz w:val="16"/>
      <w:szCs w:val="16"/>
    </w:rPr>
  </w:style>
  <w:style w:type="paragraph" w:styleId="ListParagraph">
    <w:name w:val="List Paragraph"/>
    <w:basedOn w:val="Normal"/>
    <w:uiPriority w:val="34"/>
    <w:qFormat/>
    <w:rsid w:val="00996E73"/>
    <w:pPr>
      <w:ind w:left="720"/>
      <w:contextualSpacing/>
    </w:pPr>
  </w:style>
  <w:style w:type="character" w:customStyle="1" w:styleId="exercise-number">
    <w:name w:val="exercise-number"/>
    <w:basedOn w:val="DefaultParagraphFont"/>
    <w:rsid w:val="00826783"/>
  </w:style>
  <w:style w:type="paragraph" w:styleId="NormalWeb">
    <w:name w:val="Normal (Web)"/>
    <w:basedOn w:val="Normal"/>
    <w:uiPriority w:val="99"/>
    <w:semiHidden/>
    <w:unhideWhenUsed/>
    <w:rsid w:val="0082678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26783"/>
    <w:rPr>
      <w:i/>
      <w:iCs/>
    </w:rPr>
  </w:style>
  <w:style w:type="character" w:styleId="Hyperlink">
    <w:name w:val="Hyperlink"/>
    <w:basedOn w:val="DefaultParagraphFont"/>
    <w:uiPriority w:val="99"/>
    <w:semiHidden/>
    <w:unhideWhenUsed/>
    <w:rsid w:val="00826783"/>
    <w:rPr>
      <w:color w:val="0000FF"/>
      <w:u w:val="single"/>
    </w:rPr>
  </w:style>
  <w:style w:type="character" w:customStyle="1" w:styleId="Heading1Char">
    <w:name w:val="Heading 1 Char"/>
    <w:basedOn w:val="DefaultParagraphFont"/>
    <w:link w:val="Heading1"/>
    <w:rsid w:val="00927ACC"/>
    <w:rPr>
      <w:rFonts w:ascii="Arial" w:eastAsia="Times New Roman" w:hAnsi="Arial"/>
      <w:b/>
      <w:kern w:val="28"/>
      <w:sz w:val="24"/>
      <w:szCs w:val="20"/>
    </w:rPr>
  </w:style>
  <w:style w:type="paragraph" w:customStyle="1" w:styleId="StmentHalfTitle">
    <w:name w:val="Stment HalfTitle"/>
    <w:basedOn w:val="Normal"/>
    <w:rsid w:val="00927ACC"/>
    <w:pPr>
      <w:tabs>
        <w:tab w:val="center" w:pos="5040"/>
        <w:tab w:val="left" w:pos="9000"/>
      </w:tabs>
      <w:spacing w:after="0" w:line="240" w:lineRule="auto"/>
    </w:pPr>
    <w:rPr>
      <w:rFonts w:ascii="Arial" w:eastAsia="Times New Roman" w:hAnsi="Arial"/>
      <w:caps/>
      <w:sz w:val="12"/>
      <w:szCs w:val="20"/>
    </w:rPr>
  </w:style>
  <w:style w:type="paragraph" w:styleId="NoSpacing">
    <w:name w:val="No Spacing"/>
    <w:uiPriority w:val="1"/>
    <w:qFormat/>
    <w:rsid w:val="00927ACC"/>
    <w:pPr>
      <w:spacing w:after="0" w:line="240" w:lineRule="auto"/>
    </w:pPr>
  </w:style>
  <w:style w:type="character" w:customStyle="1" w:styleId="exercise-title">
    <w:name w:val="exercise-title"/>
    <w:basedOn w:val="DefaultParagraphFont"/>
    <w:rsid w:val="00DE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930">
      <w:bodyDiv w:val="1"/>
      <w:marLeft w:val="0"/>
      <w:marRight w:val="0"/>
      <w:marTop w:val="0"/>
      <w:marBottom w:val="0"/>
      <w:divBdr>
        <w:top w:val="none" w:sz="0" w:space="0" w:color="auto"/>
        <w:left w:val="none" w:sz="0" w:space="0" w:color="auto"/>
        <w:bottom w:val="none" w:sz="0" w:space="0" w:color="auto"/>
        <w:right w:val="none" w:sz="0" w:space="0" w:color="auto"/>
      </w:divBdr>
    </w:div>
    <w:div w:id="26420393">
      <w:bodyDiv w:val="1"/>
      <w:marLeft w:val="0"/>
      <w:marRight w:val="0"/>
      <w:marTop w:val="0"/>
      <w:marBottom w:val="0"/>
      <w:divBdr>
        <w:top w:val="none" w:sz="0" w:space="0" w:color="auto"/>
        <w:left w:val="none" w:sz="0" w:space="0" w:color="auto"/>
        <w:bottom w:val="none" w:sz="0" w:space="0" w:color="auto"/>
        <w:right w:val="none" w:sz="0" w:space="0" w:color="auto"/>
      </w:divBdr>
      <w:divsChild>
        <w:div w:id="1190753152">
          <w:marLeft w:val="0"/>
          <w:marRight w:val="0"/>
          <w:marTop w:val="0"/>
          <w:marBottom w:val="0"/>
          <w:divBdr>
            <w:top w:val="none" w:sz="0" w:space="0" w:color="auto"/>
            <w:left w:val="none" w:sz="0" w:space="0" w:color="auto"/>
            <w:bottom w:val="none" w:sz="0" w:space="0" w:color="auto"/>
            <w:right w:val="none" w:sz="0" w:space="0" w:color="auto"/>
          </w:divBdr>
          <w:divsChild>
            <w:div w:id="450979866">
              <w:marLeft w:val="0"/>
              <w:marRight w:val="0"/>
              <w:marTop w:val="0"/>
              <w:marBottom w:val="0"/>
              <w:divBdr>
                <w:top w:val="none" w:sz="0" w:space="0" w:color="auto"/>
                <w:left w:val="none" w:sz="0" w:space="0" w:color="auto"/>
                <w:bottom w:val="none" w:sz="0" w:space="0" w:color="auto"/>
                <w:right w:val="none" w:sz="0" w:space="0" w:color="auto"/>
              </w:divBdr>
              <w:divsChild>
                <w:div w:id="842353683">
                  <w:marLeft w:val="0"/>
                  <w:marRight w:val="0"/>
                  <w:marTop w:val="0"/>
                  <w:marBottom w:val="0"/>
                  <w:divBdr>
                    <w:top w:val="none" w:sz="0" w:space="0" w:color="auto"/>
                    <w:left w:val="none" w:sz="0" w:space="0" w:color="auto"/>
                    <w:bottom w:val="none" w:sz="0" w:space="0" w:color="auto"/>
                    <w:right w:val="none" w:sz="0" w:space="0" w:color="auto"/>
                  </w:divBdr>
                </w:div>
                <w:div w:id="1102531773">
                  <w:marLeft w:val="0"/>
                  <w:marRight w:val="0"/>
                  <w:marTop w:val="0"/>
                  <w:marBottom w:val="0"/>
                  <w:divBdr>
                    <w:top w:val="none" w:sz="0" w:space="0" w:color="auto"/>
                    <w:left w:val="none" w:sz="0" w:space="0" w:color="auto"/>
                    <w:bottom w:val="none" w:sz="0" w:space="0" w:color="auto"/>
                    <w:right w:val="none" w:sz="0" w:space="0" w:color="auto"/>
                  </w:divBdr>
                  <w:divsChild>
                    <w:div w:id="1607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8319">
              <w:marLeft w:val="0"/>
              <w:marRight w:val="0"/>
              <w:marTop w:val="0"/>
              <w:marBottom w:val="0"/>
              <w:divBdr>
                <w:top w:val="none" w:sz="0" w:space="0" w:color="auto"/>
                <w:left w:val="none" w:sz="0" w:space="0" w:color="auto"/>
                <w:bottom w:val="none" w:sz="0" w:space="0" w:color="auto"/>
                <w:right w:val="none" w:sz="0" w:space="0" w:color="auto"/>
              </w:divBdr>
              <w:divsChild>
                <w:div w:id="1634361521">
                  <w:marLeft w:val="0"/>
                  <w:marRight w:val="0"/>
                  <w:marTop w:val="0"/>
                  <w:marBottom w:val="0"/>
                  <w:divBdr>
                    <w:top w:val="none" w:sz="0" w:space="0" w:color="auto"/>
                    <w:left w:val="none" w:sz="0" w:space="0" w:color="auto"/>
                    <w:bottom w:val="none" w:sz="0" w:space="0" w:color="auto"/>
                    <w:right w:val="none" w:sz="0" w:space="0" w:color="auto"/>
                  </w:divBdr>
                </w:div>
                <w:div w:id="21044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23">
          <w:marLeft w:val="0"/>
          <w:marRight w:val="0"/>
          <w:marTop w:val="0"/>
          <w:marBottom w:val="0"/>
          <w:divBdr>
            <w:top w:val="none" w:sz="0" w:space="0" w:color="auto"/>
            <w:left w:val="none" w:sz="0" w:space="0" w:color="auto"/>
            <w:bottom w:val="none" w:sz="0" w:space="0" w:color="auto"/>
            <w:right w:val="none" w:sz="0" w:space="0" w:color="auto"/>
          </w:divBdr>
          <w:divsChild>
            <w:div w:id="2096441690">
              <w:marLeft w:val="0"/>
              <w:marRight w:val="0"/>
              <w:marTop w:val="0"/>
              <w:marBottom w:val="0"/>
              <w:divBdr>
                <w:top w:val="none" w:sz="0" w:space="0" w:color="auto"/>
                <w:left w:val="none" w:sz="0" w:space="0" w:color="auto"/>
                <w:bottom w:val="none" w:sz="0" w:space="0" w:color="auto"/>
                <w:right w:val="none" w:sz="0" w:space="0" w:color="auto"/>
              </w:divBdr>
              <w:divsChild>
                <w:div w:id="458718327">
                  <w:marLeft w:val="0"/>
                  <w:marRight w:val="0"/>
                  <w:marTop w:val="0"/>
                  <w:marBottom w:val="0"/>
                  <w:divBdr>
                    <w:top w:val="none" w:sz="0" w:space="0" w:color="auto"/>
                    <w:left w:val="none" w:sz="0" w:space="0" w:color="auto"/>
                    <w:bottom w:val="none" w:sz="0" w:space="0" w:color="auto"/>
                    <w:right w:val="none" w:sz="0" w:space="0" w:color="auto"/>
                  </w:divBdr>
                </w:div>
              </w:divsChild>
            </w:div>
            <w:div w:id="1222793025">
              <w:marLeft w:val="0"/>
              <w:marRight w:val="0"/>
              <w:marTop w:val="0"/>
              <w:marBottom w:val="0"/>
              <w:divBdr>
                <w:top w:val="none" w:sz="0" w:space="0" w:color="auto"/>
                <w:left w:val="none" w:sz="0" w:space="0" w:color="auto"/>
                <w:bottom w:val="none" w:sz="0" w:space="0" w:color="auto"/>
                <w:right w:val="none" w:sz="0" w:space="0" w:color="auto"/>
              </w:divBdr>
              <w:divsChild>
                <w:div w:id="1934244908">
                  <w:marLeft w:val="0"/>
                  <w:marRight w:val="0"/>
                  <w:marTop w:val="0"/>
                  <w:marBottom w:val="0"/>
                  <w:divBdr>
                    <w:top w:val="none" w:sz="0" w:space="0" w:color="auto"/>
                    <w:left w:val="none" w:sz="0" w:space="0" w:color="auto"/>
                    <w:bottom w:val="none" w:sz="0" w:space="0" w:color="auto"/>
                    <w:right w:val="none" w:sz="0" w:space="0" w:color="auto"/>
                  </w:divBdr>
                </w:div>
                <w:div w:id="19525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164">
      <w:bodyDiv w:val="1"/>
      <w:marLeft w:val="0"/>
      <w:marRight w:val="0"/>
      <w:marTop w:val="0"/>
      <w:marBottom w:val="0"/>
      <w:divBdr>
        <w:top w:val="none" w:sz="0" w:space="0" w:color="auto"/>
        <w:left w:val="none" w:sz="0" w:space="0" w:color="auto"/>
        <w:bottom w:val="none" w:sz="0" w:space="0" w:color="auto"/>
        <w:right w:val="none" w:sz="0" w:space="0" w:color="auto"/>
      </w:divBdr>
      <w:divsChild>
        <w:div w:id="927496179">
          <w:marLeft w:val="0"/>
          <w:marRight w:val="0"/>
          <w:marTop w:val="0"/>
          <w:marBottom w:val="0"/>
          <w:divBdr>
            <w:top w:val="none" w:sz="0" w:space="0" w:color="auto"/>
            <w:left w:val="none" w:sz="0" w:space="0" w:color="auto"/>
            <w:bottom w:val="none" w:sz="0" w:space="0" w:color="auto"/>
            <w:right w:val="none" w:sz="0" w:space="0" w:color="auto"/>
          </w:divBdr>
          <w:divsChild>
            <w:div w:id="1681157457">
              <w:marLeft w:val="0"/>
              <w:marRight w:val="0"/>
              <w:marTop w:val="0"/>
              <w:marBottom w:val="0"/>
              <w:divBdr>
                <w:top w:val="none" w:sz="0" w:space="0" w:color="auto"/>
                <w:left w:val="none" w:sz="0" w:space="0" w:color="auto"/>
                <w:bottom w:val="none" w:sz="0" w:space="0" w:color="auto"/>
                <w:right w:val="none" w:sz="0" w:space="0" w:color="auto"/>
              </w:divBdr>
            </w:div>
            <w:div w:id="1733458287">
              <w:marLeft w:val="0"/>
              <w:marRight w:val="0"/>
              <w:marTop w:val="0"/>
              <w:marBottom w:val="0"/>
              <w:divBdr>
                <w:top w:val="none" w:sz="0" w:space="0" w:color="auto"/>
                <w:left w:val="none" w:sz="0" w:space="0" w:color="auto"/>
                <w:bottom w:val="none" w:sz="0" w:space="0" w:color="auto"/>
                <w:right w:val="none" w:sz="0" w:space="0" w:color="auto"/>
              </w:divBdr>
              <w:divsChild>
                <w:div w:id="11467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024">
          <w:marLeft w:val="0"/>
          <w:marRight w:val="0"/>
          <w:marTop w:val="0"/>
          <w:marBottom w:val="0"/>
          <w:divBdr>
            <w:top w:val="none" w:sz="0" w:space="0" w:color="auto"/>
            <w:left w:val="none" w:sz="0" w:space="0" w:color="auto"/>
            <w:bottom w:val="none" w:sz="0" w:space="0" w:color="auto"/>
            <w:right w:val="none" w:sz="0" w:space="0" w:color="auto"/>
          </w:divBdr>
          <w:divsChild>
            <w:div w:id="1365448549">
              <w:marLeft w:val="0"/>
              <w:marRight w:val="0"/>
              <w:marTop w:val="0"/>
              <w:marBottom w:val="0"/>
              <w:divBdr>
                <w:top w:val="none" w:sz="0" w:space="0" w:color="auto"/>
                <w:left w:val="none" w:sz="0" w:space="0" w:color="auto"/>
                <w:bottom w:val="none" w:sz="0" w:space="0" w:color="auto"/>
                <w:right w:val="none" w:sz="0" w:space="0" w:color="auto"/>
              </w:divBdr>
            </w:div>
            <w:div w:id="159782669">
              <w:marLeft w:val="0"/>
              <w:marRight w:val="0"/>
              <w:marTop w:val="0"/>
              <w:marBottom w:val="0"/>
              <w:divBdr>
                <w:top w:val="none" w:sz="0" w:space="0" w:color="auto"/>
                <w:left w:val="none" w:sz="0" w:space="0" w:color="auto"/>
                <w:bottom w:val="none" w:sz="0" w:space="0" w:color="auto"/>
                <w:right w:val="none" w:sz="0" w:space="0" w:color="auto"/>
              </w:divBdr>
              <w:divsChild>
                <w:div w:id="402872215">
                  <w:marLeft w:val="0"/>
                  <w:marRight w:val="0"/>
                  <w:marTop w:val="0"/>
                  <w:marBottom w:val="0"/>
                  <w:divBdr>
                    <w:top w:val="none" w:sz="0" w:space="0" w:color="auto"/>
                    <w:left w:val="none" w:sz="0" w:space="0" w:color="auto"/>
                    <w:bottom w:val="none" w:sz="0" w:space="0" w:color="auto"/>
                    <w:right w:val="none" w:sz="0" w:space="0" w:color="auto"/>
                  </w:divBdr>
                  <w:divsChild>
                    <w:div w:id="83573227">
                      <w:marLeft w:val="0"/>
                      <w:marRight w:val="0"/>
                      <w:marTop w:val="0"/>
                      <w:marBottom w:val="0"/>
                      <w:divBdr>
                        <w:top w:val="none" w:sz="0" w:space="0" w:color="auto"/>
                        <w:left w:val="none" w:sz="0" w:space="0" w:color="auto"/>
                        <w:bottom w:val="none" w:sz="0" w:space="0" w:color="auto"/>
                        <w:right w:val="none" w:sz="0" w:space="0" w:color="auto"/>
                      </w:divBdr>
                    </w:div>
                  </w:divsChild>
                </w:div>
                <w:div w:id="1343430037">
                  <w:marLeft w:val="0"/>
                  <w:marRight w:val="0"/>
                  <w:marTop w:val="0"/>
                  <w:marBottom w:val="0"/>
                  <w:divBdr>
                    <w:top w:val="none" w:sz="0" w:space="0" w:color="auto"/>
                    <w:left w:val="none" w:sz="0" w:space="0" w:color="auto"/>
                    <w:bottom w:val="none" w:sz="0" w:space="0" w:color="auto"/>
                    <w:right w:val="none" w:sz="0" w:space="0" w:color="auto"/>
                  </w:divBdr>
                  <w:divsChild>
                    <w:div w:id="1394084667">
                      <w:marLeft w:val="0"/>
                      <w:marRight w:val="0"/>
                      <w:marTop w:val="0"/>
                      <w:marBottom w:val="0"/>
                      <w:divBdr>
                        <w:top w:val="none" w:sz="0" w:space="0" w:color="auto"/>
                        <w:left w:val="none" w:sz="0" w:space="0" w:color="auto"/>
                        <w:bottom w:val="none" w:sz="0" w:space="0" w:color="auto"/>
                        <w:right w:val="none" w:sz="0" w:space="0" w:color="auto"/>
                      </w:divBdr>
                    </w:div>
                  </w:divsChild>
                </w:div>
                <w:div w:id="1449809466">
                  <w:marLeft w:val="0"/>
                  <w:marRight w:val="0"/>
                  <w:marTop w:val="0"/>
                  <w:marBottom w:val="0"/>
                  <w:divBdr>
                    <w:top w:val="none" w:sz="0" w:space="0" w:color="auto"/>
                    <w:left w:val="none" w:sz="0" w:space="0" w:color="auto"/>
                    <w:bottom w:val="none" w:sz="0" w:space="0" w:color="auto"/>
                    <w:right w:val="none" w:sz="0" w:space="0" w:color="auto"/>
                  </w:divBdr>
                  <w:divsChild>
                    <w:div w:id="1900434593">
                      <w:marLeft w:val="0"/>
                      <w:marRight w:val="0"/>
                      <w:marTop w:val="0"/>
                      <w:marBottom w:val="0"/>
                      <w:divBdr>
                        <w:top w:val="none" w:sz="0" w:space="0" w:color="auto"/>
                        <w:left w:val="none" w:sz="0" w:space="0" w:color="auto"/>
                        <w:bottom w:val="none" w:sz="0" w:space="0" w:color="auto"/>
                        <w:right w:val="none" w:sz="0" w:space="0" w:color="auto"/>
                      </w:divBdr>
                      <w:divsChild>
                        <w:div w:id="18699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243176">
      <w:bodyDiv w:val="1"/>
      <w:marLeft w:val="0"/>
      <w:marRight w:val="0"/>
      <w:marTop w:val="0"/>
      <w:marBottom w:val="0"/>
      <w:divBdr>
        <w:top w:val="none" w:sz="0" w:space="0" w:color="auto"/>
        <w:left w:val="none" w:sz="0" w:space="0" w:color="auto"/>
        <w:bottom w:val="none" w:sz="0" w:space="0" w:color="auto"/>
        <w:right w:val="none" w:sz="0" w:space="0" w:color="auto"/>
      </w:divBdr>
      <w:divsChild>
        <w:div w:id="1056316670">
          <w:marLeft w:val="0"/>
          <w:marRight w:val="0"/>
          <w:marTop w:val="0"/>
          <w:marBottom w:val="0"/>
          <w:divBdr>
            <w:top w:val="none" w:sz="0" w:space="0" w:color="auto"/>
            <w:left w:val="none" w:sz="0" w:space="0" w:color="auto"/>
            <w:bottom w:val="none" w:sz="0" w:space="0" w:color="auto"/>
            <w:right w:val="none" w:sz="0" w:space="0" w:color="auto"/>
          </w:divBdr>
          <w:divsChild>
            <w:div w:id="1077819951">
              <w:marLeft w:val="0"/>
              <w:marRight w:val="0"/>
              <w:marTop w:val="0"/>
              <w:marBottom w:val="0"/>
              <w:divBdr>
                <w:top w:val="none" w:sz="0" w:space="0" w:color="auto"/>
                <w:left w:val="none" w:sz="0" w:space="0" w:color="auto"/>
                <w:bottom w:val="none" w:sz="0" w:space="0" w:color="auto"/>
                <w:right w:val="none" w:sz="0" w:space="0" w:color="auto"/>
              </w:divBdr>
            </w:div>
            <w:div w:id="311981509">
              <w:marLeft w:val="0"/>
              <w:marRight w:val="0"/>
              <w:marTop w:val="0"/>
              <w:marBottom w:val="0"/>
              <w:divBdr>
                <w:top w:val="none" w:sz="0" w:space="0" w:color="auto"/>
                <w:left w:val="none" w:sz="0" w:space="0" w:color="auto"/>
                <w:bottom w:val="none" w:sz="0" w:space="0" w:color="auto"/>
                <w:right w:val="none" w:sz="0" w:space="0" w:color="auto"/>
              </w:divBdr>
              <w:divsChild>
                <w:div w:id="1819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5423">
      <w:bodyDiv w:val="1"/>
      <w:marLeft w:val="0"/>
      <w:marRight w:val="0"/>
      <w:marTop w:val="0"/>
      <w:marBottom w:val="0"/>
      <w:divBdr>
        <w:top w:val="none" w:sz="0" w:space="0" w:color="auto"/>
        <w:left w:val="none" w:sz="0" w:space="0" w:color="auto"/>
        <w:bottom w:val="none" w:sz="0" w:space="0" w:color="auto"/>
        <w:right w:val="none" w:sz="0" w:space="0" w:color="auto"/>
      </w:divBdr>
      <w:divsChild>
        <w:div w:id="444496441">
          <w:marLeft w:val="0"/>
          <w:marRight w:val="0"/>
          <w:marTop w:val="0"/>
          <w:marBottom w:val="0"/>
          <w:divBdr>
            <w:top w:val="none" w:sz="0" w:space="0" w:color="auto"/>
            <w:left w:val="none" w:sz="0" w:space="0" w:color="auto"/>
            <w:bottom w:val="none" w:sz="0" w:space="0" w:color="auto"/>
            <w:right w:val="none" w:sz="0" w:space="0" w:color="auto"/>
          </w:divBdr>
          <w:divsChild>
            <w:div w:id="124281801">
              <w:marLeft w:val="0"/>
              <w:marRight w:val="0"/>
              <w:marTop w:val="0"/>
              <w:marBottom w:val="0"/>
              <w:divBdr>
                <w:top w:val="none" w:sz="0" w:space="0" w:color="auto"/>
                <w:left w:val="none" w:sz="0" w:space="0" w:color="auto"/>
                <w:bottom w:val="none" w:sz="0" w:space="0" w:color="auto"/>
                <w:right w:val="none" w:sz="0" w:space="0" w:color="auto"/>
              </w:divBdr>
            </w:div>
            <w:div w:id="253588202">
              <w:marLeft w:val="0"/>
              <w:marRight w:val="0"/>
              <w:marTop w:val="0"/>
              <w:marBottom w:val="0"/>
              <w:divBdr>
                <w:top w:val="none" w:sz="0" w:space="0" w:color="auto"/>
                <w:left w:val="none" w:sz="0" w:space="0" w:color="auto"/>
                <w:bottom w:val="none" w:sz="0" w:space="0" w:color="auto"/>
                <w:right w:val="none" w:sz="0" w:space="0" w:color="auto"/>
              </w:divBdr>
              <w:divsChild>
                <w:div w:id="19761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0757">
          <w:marLeft w:val="0"/>
          <w:marRight w:val="0"/>
          <w:marTop w:val="0"/>
          <w:marBottom w:val="0"/>
          <w:divBdr>
            <w:top w:val="none" w:sz="0" w:space="0" w:color="auto"/>
            <w:left w:val="none" w:sz="0" w:space="0" w:color="auto"/>
            <w:bottom w:val="none" w:sz="0" w:space="0" w:color="auto"/>
            <w:right w:val="none" w:sz="0" w:space="0" w:color="auto"/>
          </w:divBdr>
          <w:divsChild>
            <w:div w:id="84152698">
              <w:marLeft w:val="0"/>
              <w:marRight w:val="0"/>
              <w:marTop w:val="0"/>
              <w:marBottom w:val="0"/>
              <w:divBdr>
                <w:top w:val="none" w:sz="0" w:space="0" w:color="auto"/>
                <w:left w:val="none" w:sz="0" w:space="0" w:color="auto"/>
                <w:bottom w:val="none" w:sz="0" w:space="0" w:color="auto"/>
                <w:right w:val="none" w:sz="0" w:space="0" w:color="auto"/>
              </w:divBdr>
            </w:div>
            <w:div w:id="1890914993">
              <w:marLeft w:val="0"/>
              <w:marRight w:val="0"/>
              <w:marTop w:val="0"/>
              <w:marBottom w:val="0"/>
              <w:divBdr>
                <w:top w:val="none" w:sz="0" w:space="0" w:color="auto"/>
                <w:left w:val="none" w:sz="0" w:space="0" w:color="auto"/>
                <w:bottom w:val="none" w:sz="0" w:space="0" w:color="auto"/>
                <w:right w:val="none" w:sz="0" w:space="0" w:color="auto"/>
              </w:divBdr>
              <w:divsChild>
                <w:div w:id="558857384">
                  <w:marLeft w:val="0"/>
                  <w:marRight w:val="0"/>
                  <w:marTop w:val="0"/>
                  <w:marBottom w:val="0"/>
                  <w:divBdr>
                    <w:top w:val="none" w:sz="0" w:space="0" w:color="auto"/>
                    <w:left w:val="none" w:sz="0" w:space="0" w:color="auto"/>
                    <w:bottom w:val="none" w:sz="0" w:space="0" w:color="auto"/>
                    <w:right w:val="none" w:sz="0" w:space="0" w:color="auto"/>
                  </w:divBdr>
                  <w:divsChild>
                    <w:div w:id="2049530937">
                      <w:marLeft w:val="0"/>
                      <w:marRight w:val="0"/>
                      <w:marTop w:val="0"/>
                      <w:marBottom w:val="0"/>
                      <w:divBdr>
                        <w:top w:val="none" w:sz="0" w:space="0" w:color="auto"/>
                        <w:left w:val="none" w:sz="0" w:space="0" w:color="auto"/>
                        <w:bottom w:val="none" w:sz="0" w:space="0" w:color="auto"/>
                        <w:right w:val="none" w:sz="0" w:space="0" w:color="auto"/>
                      </w:divBdr>
                    </w:div>
                  </w:divsChild>
                </w:div>
                <w:div w:id="1573197171">
                  <w:marLeft w:val="0"/>
                  <w:marRight w:val="0"/>
                  <w:marTop w:val="0"/>
                  <w:marBottom w:val="0"/>
                  <w:divBdr>
                    <w:top w:val="none" w:sz="0" w:space="0" w:color="auto"/>
                    <w:left w:val="none" w:sz="0" w:space="0" w:color="auto"/>
                    <w:bottom w:val="none" w:sz="0" w:space="0" w:color="auto"/>
                    <w:right w:val="none" w:sz="0" w:space="0" w:color="auto"/>
                  </w:divBdr>
                  <w:divsChild>
                    <w:div w:id="17644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21743">
      <w:bodyDiv w:val="1"/>
      <w:marLeft w:val="0"/>
      <w:marRight w:val="0"/>
      <w:marTop w:val="0"/>
      <w:marBottom w:val="0"/>
      <w:divBdr>
        <w:top w:val="none" w:sz="0" w:space="0" w:color="auto"/>
        <w:left w:val="none" w:sz="0" w:space="0" w:color="auto"/>
        <w:bottom w:val="none" w:sz="0" w:space="0" w:color="auto"/>
        <w:right w:val="none" w:sz="0" w:space="0" w:color="auto"/>
      </w:divBdr>
      <w:divsChild>
        <w:div w:id="32274863">
          <w:marLeft w:val="0"/>
          <w:marRight w:val="0"/>
          <w:marTop w:val="0"/>
          <w:marBottom w:val="0"/>
          <w:divBdr>
            <w:top w:val="none" w:sz="0" w:space="0" w:color="auto"/>
            <w:left w:val="none" w:sz="0" w:space="0" w:color="auto"/>
            <w:bottom w:val="none" w:sz="0" w:space="0" w:color="auto"/>
            <w:right w:val="none" w:sz="0" w:space="0" w:color="auto"/>
          </w:divBdr>
          <w:divsChild>
            <w:div w:id="16437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5338">
      <w:bodyDiv w:val="1"/>
      <w:marLeft w:val="0"/>
      <w:marRight w:val="0"/>
      <w:marTop w:val="0"/>
      <w:marBottom w:val="0"/>
      <w:divBdr>
        <w:top w:val="none" w:sz="0" w:space="0" w:color="auto"/>
        <w:left w:val="none" w:sz="0" w:space="0" w:color="auto"/>
        <w:bottom w:val="none" w:sz="0" w:space="0" w:color="auto"/>
        <w:right w:val="none" w:sz="0" w:space="0" w:color="auto"/>
      </w:divBdr>
    </w:div>
    <w:div w:id="1692150600">
      <w:bodyDiv w:val="1"/>
      <w:marLeft w:val="0"/>
      <w:marRight w:val="0"/>
      <w:marTop w:val="0"/>
      <w:marBottom w:val="0"/>
      <w:divBdr>
        <w:top w:val="none" w:sz="0" w:space="0" w:color="auto"/>
        <w:left w:val="none" w:sz="0" w:space="0" w:color="auto"/>
        <w:bottom w:val="none" w:sz="0" w:space="0" w:color="auto"/>
        <w:right w:val="none" w:sz="0" w:space="0" w:color="auto"/>
      </w:divBdr>
    </w:div>
    <w:div w:id="1979727964">
      <w:bodyDiv w:val="1"/>
      <w:marLeft w:val="0"/>
      <w:marRight w:val="0"/>
      <w:marTop w:val="0"/>
      <w:marBottom w:val="0"/>
      <w:divBdr>
        <w:top w:val="none" w:sz="0" w:space="0" w:color="auto"/>
        <w:left w:val="none" w:sz="0" w:space="0" w:color="auto"/>
        <w:bottom w:val="none" w:sz="0" w:space="0" w:color="auto"/>
        <w:right w:val="none" w:sz="0" w:space="0" w:color="auto"/>
      </w:divBdr>
      <w:divsChild>
        <w:div w:id="1838956872">
          <w:marLeft w:val="0"/>
          <w:marRight w:val="0"/>
          <w:marTop w:val="0"/>
          <w:marBottom w:val="0"/>
          <w:divBdr>
            <w:top w:val="none" w:sz="0" w:space="0" w:color="auto"/>
            <w:left w:val="none" w:sz="0" w:space="0" w:color="auto"/>
            <w:bottom w:val="none" w:sz="0" w:space="0" w:color="auto"/>
            <w:right w:val="none" w:sz="0" w:space="0" w:color="auto"/>
          </w:divBdr>
          <w:divsChild>
            <w:div w:id="1123772870">
              <w:marLeft w:val="0"/>
              <w:marRight w:val="0"/>
              <w:marTop w:val="0"/>
              <w:marBottom w:val="0"/>
              <w:divBdr>
                <w:top w:val="none" w:sz="0" w:space="0" w:color="auto"/>
                <w:left w:val="none" w:sz="0" w:space="0" w:color="auto"/>
                <w:bottom w:val="none" w:sz="0" w:space="0" w:color="auto"/>
                <w:right w:val="none" w:sz="0" w:space="0" w:color="auto"/>
              </w:divBdr>
            </w:div>
            <w:div w:id="2034306452">
              <w:marLeft w:val="0"/>
              <w:marRight w:val="0"/>
              <w:marTop w:val="0"/>
              <w:marBottom w:val="0"/>
              <w:divBdr>
                <w:top w:val="none" w:sz="0" w:space="0" w:color="auto"/>
                <w:left w:val="none" w:sz="0" w:space="0" w:color="auto"/>
                <w:bottom w:val="none" w:sz="0" w:space="0" w:color="auto"/>
                <w:right w:val="none" w:sz="0" w:space="0" w:color="auto"/>
              </w:divBdr>
              <w:divsChild>
                <w:div w:id="1002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7</cp:revision>
  <dcterms:created xsi:type="dcterms:W3CDTF">2016-08-02T21:46:00Z</dcterms:created>
  <dcterms:modified xsi:type="dcterms:W3CDTF">2016-08-02T23:22:00Z</dcterms:modified>
</cp:coreProperties>
</file>