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808" w:rsidRPr="00FD1B4D" w:rsidRDefault="00035AC9" w:rsidP="00FD1B4D">
      <w:pPr>
        <w:spacing w:before="100" w:beforeAutospacing="1" w:after="100" w:afterAutospacing="1" w:line="240" w:lineRule="auto"/>
        <w:jc w:val="both"/>
        <w:rPr>
          <w:rFonts w:asciiTheme="minorHAnsi" w:eastAsia="Times New Roman" w:hAnsiTheme="minorHAnsi"/>
          <w:sz w:val="20"/>
          <w:szCs w:val="20"/>
        </w:rPr>
      </w:pPr>
      <w:r w:rsidRPr="00FD1B4D">
        <w:rPr>
          <w:rFonts w:asciiTheme="minorHAnsi" w:eastAsia="Times New Roman" w:hAnsiTheme="minorHAnsi"/>
          <w:noProof/>
          <w:sz w:val="20"/>
          <w:szCs w:val="20"/>
        </w:rPr>
        <w:drawing>
          <wp:inline distT="0" distB="0" distL="0" distR="0" wp14:anchorId="0B668630" wp14:editId="773686FF">
            <wp:extent cx="5905500" cy="2674620"/>
            <wp:effectExtent l="0" t="0" r="0" b="0"/>
            <wp:docPr id="2" name="Picture 2" descr="http://textflow.mheducation.com/books/007742994X/images/chapter_hea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tflow.mheducation.com/books/007742994X/images/chapter_head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2674620"/>
                    </a:xfrm>
                    <a:prstGeom prst="rect">
                      <a:avLst/>
                    </a:prstGeom>
                    <a:noFill/>
                    <a:ln>
                      <a:noFill/>
                    </a:ln>
                  </pic:spPr>
                </pic:pic>
              </a:graphicData>
            </a:graphic>
          </wp:inline>
        </w:drawing>
      </w:r>
      <w:r w:rsidR="007F0808" w:rsidRPr="00FD1B4D">
        <w:rPr>
          <w:rFonts w:asciiTheme="minorHAnsi" w:eastAsia="Times New Roman" w:hAnsiTheme="minorHAnsi"/>
          <w:noProof/>
          <w:sz w:val="20"/>
          <w:szCs w:val="20"/>
        </w:rPr>
        <w:drawing>
          <wp:inline distT="0" distB="0" distL="0" distR="0" wp14:anchorId="01E5E13F" wp14:editId="6AFEE40F">
            <wp:extent cx="5334000" cy="1524000"/>
            <wp:effectExtent l="0" t="0" r="0" b="0"/>
            <wp:docPr id="3" name="Picture 3" descr="http://textflow.mheducation.com/figures/007742994X/wiL25389_un09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42994X_001_019228c" descr="http://textflow.mheducation.com/figures/007742994X/wiL25389_un09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0" cy="1524000"/>
                    </a:xfrm>
                    <a:prstGeom prst="rect">
                      <a:avLst/>
                    </a:prstGeom>
                    <a:noFill/>
                    <a:ln>
                      <a:noFill/>
                    </a:ln>
                  </pic:spPr>
                </pic:pic>
              </a:graphicData>
            </a:graphic>
          </wp:inline>
        </w:drawing>
      </w:r>
    </w:p>
    <w:p w:rsidR="007F0808" w:rsidRPr="00FD1B4D" w:rsidRDefault="007F0808" w:rsidP="00FD1B4D">
      <w:pPr>
        <w:pStyle w:val="NormalWeb"/>
        <w:jc w:val="both"/>
        <w:rPr>
          <w:rStyle w:val="sectitle"/>
          <w:rFonts w:asciiTheme="minorHAnsi" w:hAnsiTheme="minorHAnsi"/>
          <w:b/>
          <w:sz w:val="20"/>
          <w:szCs w:val="20"/>
        </w:rPr>
      </w:pPr>
      <w:r w:rsidRPr="00FD1B4D">
        <w:rPr>
          <w:rStyle w:val="sectitle"/>
          <w:rFonts w:asciiTheme="minorHAnsi" w:hAnsiTheme="minorHAnsi"/>
          <w:b/>
          <w:sz w:val="20"/>
          <w:szCs w:val="20"/>
        </w:rPr>
        <w:t>CHARACTERISTICS OF LIABILITIES</w:t>
      </w:r>
    </w:p>
    <w:p w:rsidR="007F0808" w:rsidRPr="00FD1B4D" w:rsidRDefault="007F0808" w:rsidP="00FD1B4D">
      <w:pPr>
        <w:pStyle w:val="NormalWeb"/>
        <w:jc w:val="both"/>
        <w:rPr>
          <w:rFonts w:asciiTheme="minorHAnsi" w:hAnsiTheme="minorHAnsi"/>
          <w:sz w:val="20"/>
          <w:szCs w:val="20"/>
        </w:rPr>
      </w:pPr>
      <w:r w:rsidRPr="00FD1B4D">
        <w:rPr>
          <w:rFonts w:asciiTheme="minorHAnsi" w:hAnsiTheme="minorHAnsi"/>
          <w:sz w:val="20"/>
          <w:szCs w:val="20"/>
        </w:rPr>
        <w:t xml:space="preserve">A </w:t>
      </w:r>
      <w:r w:rsidRPr="00FD1B4D">
        <w:rPr>
          <w:rFonts w:asciiTheme="minorHAnsi" w:hAnsiTheme="minorHAnsi"/>
          <w:i/>
          <w:iCs/>
          <w:sz w:val="20"/>
          <w:szCs w:val="20"/>
        </w:rPr>
        <w:t>liability</w:t>
      </w:r>
      <w:r w:rsidRPr="00FD1B4D">
        <w:rPr>
          <w:rFonts w:asciiTheme="minorHAnsi" w:hAnsiTheme="minorHAnsi"/>
          <w:sz w:val="20"/>
          <w:szCs w:val="20"/>
        </w:rPr>
        <w:t xml:space="preserve"> is a probable future payment of assets or services that a company is presently obligated to make as a result of past transactions or events. This definition includes three crucial factors:</w:t>
      </w:r>
    </w:p>
    <w:p w:rsidR="007F0808" w:rsidRPr="00FD1B4D" w:rsidRDefault="007F0808" w:rsidP="00FD1B4D">
      <w:pPr>
        <w:pStyle w:val="NormalWeb"/>
        <w:numPr>
          <w:ilvl w:val="0"/>
          <w:numId w:val="1"/>
        </w:numPr>
        <w:jc w:val="both"/>
        <w:rPr>
          <w:rFonts w:asciiTheme="minorHAnsi" w:hAnsiTheme="minorHAnsi"/>
          <w:sz w:val="20"/>
          <w:szCs w:val="20"/>
        </w:rPr>
      </w:pPr>
      <w:r w:rsidRPr="00FD1B4D">
        <w:rPr>
          <w:rFonts w:asciiTheme="minorHAnsi" w:hAnsiTheme="minorHAnsi"/>
          <w:sz w:val="20"/>
          <w:szCs w:val="20"/>
        </w:rPr>
        <w:t>A past transaction or event.</w:t>
      </w:r>
    </w:p>
    <w:p w:rsidR="007F0808" w:rsidRPr="00FD1B4D" w:rsidRDefault="007F0808" w:rsidP="00FD1B4D">
      <w:pPr>
        <w:pStyle w:val="NormalWeb"/>
        <w:numPr>
          <w:ilvl w:val="0"/>
          <w:numId w:val="1"/>
        </w:numPr>
        <w:jc w:val="both"/>
        <w:rPr>
          <w:rFonts w:asciiTheme="minorHAnsi" w:hAnsiTheme="minorHAnsi"/>
          <w:sz w:val="20"/>
          <w:szCs w:val="20"/>
        </w:rPr>
      </w:pPr>
      <w:r w:rsidRPr="00FD1B4D">
        <w:rPr>
          <w:rFonts w:asciiTheme="minorHAnsi" w:hAnsiTheme="minorHAnsi"/>
          <w:sz w:val="20"/>
          <w:szCs w:val="20"/>
        </w:rPr>
        <w:t>A present obligation.</w:t>
      </w:r>
    </w:p>
    <w:p w:rsidR="007F0808" w:rsidRPr="00FD1B4D" w:rsidRDefault="007F0808" w:rsidP="00FD1B4D">
      <w:pPr>
        <w:pStyle w:val="NormalWeb"/>
        <w:numPr>
          <w:ilvl w:val="0"/>
          <w:numId w:val="1"/>
        </w:numPr>
        <w:jc w:val="both"/>
        <w:rPr>
          <w:rFonts w:asciiTheme="minorHAnsi" w:hAnsiTheme="minorHAnsi"/>
          <w:sz w:val="20"/>
          <w:szCs w:val="20"/>
        </w:rPr>
      </w:pPr>
      <w:r w:rsidRPr="00FD1B4D">
        <w:rPr>
          <w:rFonts w:asciiTheme="minorHAnsi" w:hAnsiTheme="minorHAnsi"/>
          <w:sz w:val="20"/>
          <w:szCs w:val="20"/>
        </w:rPr>
        <w:t>A future payment of assets or services.</w:t>
      </w:r>
    </w:p>
    <w:p w:rsidR="007F0808" w:rsidRPr="00FD1B4D" w:rsidRDefault="007F0808" w:rsidP="00FD1B4D">
      <w:pPr>
        <w:spacing w:before="100" w:beforeAutospacing="1" w:after="100" w:afterAutospacing="1" w:line="240" w:lineRule="auto"/>
        <w:jc w:val="both"/>
        <w:rPr>
          <w:rFonts w:asciiTheme="minorHAnsi" w:eastAsia="Times New Roman" w:hAnsiTheme="minorHAnsi"/>
          <w:sz w:val="20"/>
          <w:szCs w:val="20"/>
        </w:rPr>
      </w:pPr>
      <w:r w:rsidRPr="00FD1B4D">
        <w:rPr>
          <w:rFonts w:asciiTheme="minorHAnsi" w:eastAsia="Times New Roman" w:hAnsiTheme="minorHAnsi"/>
          <w:sz w:val="20"/>
          <w:szCs w:val="20"/>
        </w:rPr>
        <w:t xml:space="preserve">For example, most companies expect to pay wages to their employees in upcoming months and years, but these future payments are </w:t>
      </w:r>
      <w:r w:rsidRPr="00FD1B4D">
        <w:rPr>
          <w:rFonts w:asciiTheme="minorHAnsi" w:eastAsia="Times New Roman" w:hAnsiTheme="minorHAnsi"/>
          <w:i/>
          <w:iCs/>
          <w:sz w:val="20"/>
          <w:szCs w:val="20"/>
        </w:rPr>
        <w:t>not</w:t>
      </w:r>
      <w:r w:rsidRPr="00FD1B4D">
        <w:rPr>
          <w:rFonts w:asciiTheme="minorHAnsi" w:eastAsia="Times New Roman" w:hAnsiTheme="minorHAnsi"/>
          <w:sz w:val="20"/>
          <w:szCs w:val="20"/>
        </w:rPr>
        <w:t xml:space="preserve"> liabilities because no past event such as employee work resulted in a present obligation. Instead, such liabilities arise when employees perform their work and earn the wages.</w:t>
      </w:r>
    </w:p>
    <w:p w:rsidR="007F0808" w:rsidRPr="00FD1B4D" w:rsidRDefault="007F0808" w:rsidP="00FD1B4D">
      <w:pPr>
        <w:jc w:val="both"/>
        <w:rPr>
          <w:rFonts w:asciiTheme="minorHAnsi" w:hAnsiTheme="minorHAnsi"/>
          <w:b/>
          <w:bCs/>
          <w:sz w:val="20"/>
          <w:szCs w:val="20"/>
        </w:rPr>
      </w:pPr>
      <w:r w:rsidRPr="00FD1B4D">
        <w:rPr>
          <w:rFonts w:asciiTheme="minorHAnsi" w:hAnsiTheme="minorHAnsi"/>
          <w:b/>
          <w:bCs/>
          <w:sz w:val="20"/>
          <w:szCs w:val="20"/>
        </w:rPr>
        <w:br w:type="page"/>
      </w:r>
    </w:p>
    <w:p w:rsidR="009A052A" w:rsidRPr="00FD1B4D" w:rsidRDefault="009A052A" w:rsidP="00FD1B4D">
      <w:pPr>
        <w:jc w:val="both"/>
        <w:rPr>
          <w:rFonts w:asciiTheme="minorHAnsi" w:hAnsiTheme="minorHAnsi"/>
          <w:b/>
          <w:bCs/>
          <w:sz w:val="20"/>
          <w:szCs w:val="20"/>
        </w:rPr>
      </w:pPr>
      <w:r w:rsidRPr="00FD1B4D">
        <w:rPr>
          <w:rStyle w:val="sectitle"/>
          <w:rFonts w:asciiTheme="minorHAnsi" w:hAnsiTheme="minorHAnsi"/>
          <w:b/>
          <w:sz w:val="20"/>
          <w:szCs w:val="20"/>
        </w:rPr>
        <w:lastRenderedPageBreak/>
        <w:t>Classifying Liabilities</w:t>
      </w:r>
    </w:p>
    <w:p w:rsidR="00C36FEF" w:rsidRPr="00FD1B4D" w:rsidRDefault="007F0808" w:rsidP="00FD1B4D">
      <w:pPr>
        <w:jc w:val="both"/>
        <w:rPr>
          <w:rFonts w:asciiTheme="minorHAnsi" w:hAnsiTheme="minorHAnsi"/>
          <w:sz w:val="20"/>
          <w:szCs w:val="20"/>
        </w:rPr>
      </w:pPr>
      <w:r w:rsidRPr="00FD1B4D">
        <w:rPr>
          <w:rFonts w:asciiTheme="minorHAnsi" w:hAnsiTheme="minorHAnsi"/>
          <w:b/>
          <w:bCs/>
          <w:sz w:val="20"/>
          <w:szCs w:val="20"/>
        </w:rPr>
        <w:t>Current liabilities,</w:t>
      </w:r>
      <w:r w:rsidRPr="00FD1B4D">
        <w:rPr>
          <w:rFonts w:asciiTheme="minorHAnsi" w:hAnsiTheme="minorHAnsi"/>
          <w:sz w:val="20"/>
          <w:szCs w:val="20"/>
        </w:rPr>
        <w:t xml:space="preserve"> also called </w:t>
      </w:r>
      <w:r w:rsidRPr="00FD1B4D">
        <w:rPr>
          <w:rFonts w:asciiTheme="minorHAnsi" w:hAnsiTheme="minorHAnsi"/>
          <w:i/>
          <w:iCs/>
          <w:sz w:val="20"/>
          <w:szCs w:val="20"/>
        </w:rPr>
        <w:t>short-term liabilities</w:t>
      </w:r>
      <w:r w:rsidRPr="00FD1B4D">
        <w:rPr>
          <w:rFonts w:asciiTheme="minorHAnsi" w:hAnsiTheme="minorHAnsi"/>
          <w:sz w:val="20"/>
          <w:szCs w:val="20"/>
        </w:rPr>
        <w:t>, are obligations due within one year or the company's operating cycle, whichever is longer. They are expected to be paid using current assets or by creating other current liabilities. Common examples of current liabilities are accounts payable, short-term notes payable, wages payable, warranty liabilities, lease liabilities, taxes payable, and unearned revenues.</w:t>
      </w:r>
    </w:p>
    <w:p w:rsidR="007F0808" w:rsidRPr="00FD1B4D" w:rsidRDefault="005A0EE8" w:rsidP="00FD1B4D">
      <w:pPr>
        <w:jc w:val="both"/>
        <w:rPr>
          <w:rFonts w:asciiTheme="minorHAnsi" w:hAnsiTheme="minorHAnsi"/>
          <w:sz w:val="20"/>
          <w:szCs w:val="20"/>
        </w:rPr>
      </w:pPr>
      <w:r w:rsidRPr="00FD1B4D">
        <w:rPr>
          <w:rStyle w:val="black"/>
          <w:rFonts w:asciiTheme="minorHAnsi" w:hAnsiTheme="minorHAnsi"/>
          <w:b/>
          <w:sz w:val="20"/>
          <w:szCs w:val="20"/>
        </w:rPr>
        <w:t>Long-Term Liabilities</w:t>
      </w:r>
      <w:r w:rsidRPr="00FD1B4D">
        <w:rPr>
          <w:rFonts w:asciiTheme="minorHAnsi" w:hAnsiTheme="minorHAnsi"/>
          <w:sz w:val="20"/>
          <w:szCs w:val="20"/>
        </w:rPr>
        <w:t xml:space="preserve"> A company's obligations not expected to be paid within the longer of one year or the company's operating cycle are reported as </w:t>
      </w:r>
      <w:r w:rsidRPr="00FD1B4D">
        <w:rPr>
          <w:rFonts w:asciiTheme="minorHAnsi" w:hAnsiTheme="minorHAnsi"/>
          <w:b/>
          <w:bCs/>
          <w:sz w:val="20"/>
          <w:szCs w:val="20"/>
        </w:rPr>
        <w:t>long-term liabilities.</w:t>
      </w:r>
      <w:r w:rsidRPr="00FD1B4D">
        <w:rPr>
          <w:rFonts w:asciiTheme="minorHAnsi" w:hAnsiTheme="minorHAnsi"/>
          <w:sz w:val="20"/>
          <w:szCs w:val="20"/>
        </w:rPr>
        <w:t xml:space="preserve"> They can include long-term notes payable, warranty liabilities, lease liabilities, and bonds payable. They are reported after current liabilities on the Balance Sheet. A single liability also can be divided between the current and noncurrent sections if a company expects to make payments toward it in both the short and long term.</w:t>
      </w:r>
    </w:p>
    <w:p w:rsidR="008C1EC4" w:rsidRPr="00FD1B4D" w:rsidRDefault="008B66E4" w:rsidP="00FD1B4D">
      <w:pPr>
        <w:jc w:val="both"/>
        <w:rPr>
          <w:rFonts w:asciiTheme="minorHAnsi" w:hAnsiTheme="minorHAnsi"/>
          <w:b/>
          <w:sz w:val="20"/>
          <w:szCs w:val="20"/>
        </w:rPr>
      </w:pPr>
      <w:r w:rsidRPr="00FD1B4D">
        <w:rPr>
          <w:rFonts w:asciiTheme="minorHAnsi" w:hAnsiTheme="minorHAnsi"/>
          <w:b/>
          <w:sz w:val="20"/>
          <w:szCs w:val="20"/>
        </w:rPr>
        <w:t xml:space="preserve">Categories of Liabilities </w:t>
      </w:r>
    </w:p>
    <w:p w:rsidR="008B66E4" w:rsidRPr="00FD1B4D" w:rsidRDefault="008B66E4" w:rsidP="00FD1B4D">
      <w:pPr>
        <w:ind w:left="720"/>
        <w:jc w:val="both"/>
        <w:rPr>
          <w:rFonts w:asciiTheme="minorHAnsi" w:hAnsiTheme="minorHAnsi"/>
          <w:sz w:val="20"/>
          <w:szCs w:val="20"/>
        </w:rPr>
      </w:pPr>
      <w:r w:rsidRPr="00FD1B4D">
        <w:rPr>
          <w:rFonts w:asciiTheme="minorHAnsi" w:hAnsiTheme="minorHAnsi"/>
          <w:sz w:val="20"/>
          <w:szCs w:val="20"/>
        </w:rPr>
        <w:t>I</w:t>
      </w:r>
      <w:r w:rsidRPr="00FD1B4D">
        <w:rPr>
          <w:rFonts w:asciiTheme="minorHAnsi" w:hAnsiTheme="minorHAnsi"/>
          <w:sz w:val="20"/>
          <w:szCs w:val="20"/>
        </w:rPr>
        <w:tab/>
        <w:t>Known</w:t>
      </w:r>
    </w:p>
    <w:p w:rsidR="008B66E4" w:rsidRPr="00FD1B4D" w:rsidRDefault="008B66E4" w:rsidP="00FD1B4D">
      <w:pPr>
        <w:ind w:left="720"/>
        <w:jc w:val="both"/>
        <w:rPr>
          <w:rFonts w:asciiTheme="minorHAnsi" w:hAnsiTheme="minorHAnsi"/>
          <w:sz w:val="20"/>
          <w:szCs w:val="20"/>
        </w:rPr>
      </w:pPr>
      <w:r w:rsidRPr="00FD1B4D">
        <w:rPr>
          <w:rFonts w:asciiTheme="minorHAnsi" w:hAnsiTheme="minorHAnsi"/>
          <w:sz w:val="20"/>
          <w:szCs w:val="20"/>
        </w:rPr>
        <w:t>II</w:t>
      </w:r>
      <w:r w:rsidRPr="00FD1B4D">
        <w:rPr>
          <w:rFonts w:asciiTheme="minorHAnsi" w:hAnsiTheme="minorHAnsi"/>
          <w:sz w:val="20"/>
          <w:szCs w:val="20"/>
        </w:rPr>
        <w:tab/>
        <w:t xml:space="preserve">Estimated </w:t>
      </w:r>
    </w:p>
    <w:p w:rsidR="008B66E4" w:rsidRPr="00FD1B4D" w:rsidRDefault="00BF75FA" w:rsidP="00FD1B4D">
      <w:pPr>
        <w:ind w:left="720"/>
        <w:jc w:val="both"/>
        <w:rPr>
          <w:rFonts w:asciiTheme="minorHAnsi" w:hAnsiTheme="minorHAnsi"/>
          <w:sz w:val="20"/>
          <w:szCs w:val="20"/>
        </w:rPr>
      </w:pPr>
      <w:r w:rsidRPr="00FD1B4D">
        <w:rPr>
          <w:rFonts w:asciiTheme="minorHAnsi" w:hAnsiTheme="minorHAnsi"/>
          <w:sz w:val="20"/>
          <w:szCs w:val="20"/>
        </w:rPr>
        <w:t>III</w:t>
      </w:r>
      <w:r w:rsidRPr="00FD1B4D">
        <w:rPr>
          <w:rFonts w:asciiTheme="minorHAnsi" w:hAnsiTheme="minorHAnsi"/>
          <w:sz w:val="20"/>
          <w:szCs w:val="20"/>
        </w:rPr>
        <w:tab/>
        <w:t>Contingent</w:t>
      </w:r>
    </w:p>
    <w:p w:rsidR="008B66E4" w:rsidRPr="00FD1B4D" w:rsidRDefault="008B66E4" w:rsidP="00FD1B4D">
      <w:pPr>
        <w:jc w:val="both"/>
        <w:rPr>
          <w:rFonts w:asciiTheme="minorHAnsi" w:hAnsiTheme="minorHAnsi"/>
          <w:b/>
          <w:sz w:val="20"/>
          <w:szCs w:val="20"/>
        </w:rPr>
      </w:pPr>
      <w:r w:rsidRPr="00FD1B4D">
        <w:rPr>
          <w:rFonts w:asciiTheme="minorHAnsi" w:hAnsiTheme="minorHAnsi"/>
          <w:b/>
          <w:sz w:val="20"/>
          <w:szCs w:val="20"/>
        </w:rPr>
        <w:t>Known Liabilities</w:t>
      </w:r>
    </w:p>
    <w:p w:rsidR="008B66E4" w:rsidRPr="00FD1B4D" w:rsidRDefault="008B66E4" w:rsidP="00FD1B4D">
      <w:pPr>
        <w:jc w:val="both"/>
        <w:rPr>
          <w:rFonts w:asciiTheme="minorHAnsi" w:hAnsiTheme="minorHAnsi"/>
          <w:sz w:val="20"/>
          <w:szCs w:val="20"/>
        </w:rPr>
      </w:pPr>
      <w:r w:rsidRPr="00FD1B4D">
        <w:rPr>
          <w:rFonts w:asciiTheme="minorHAnsi" w:hAnsiTheme="minorHAnsi"/>
          <w:sz w:val="20"/>
          <w:szCs w:val="20"/>
        </w:rPr>
        <w:t xml:space="preserve">Most liabilities arise from situations with little uncertainty. They are set by agreements, contracts, or laws and are measurable. These liabilities are </w:t>
      </w:r>
      <w:r w:rsidRPr="00FD1B4D">
        <w:rPr>
          <w:rFonts w:asciiTheme="minorHAnsi" w:hAnsiTheme="minorHAnsi"/>
          <w:b/>
          <w:bCs/>
          <w:sz w:val="20"/>
          <w:szCs w:val="20"/>
        </w:rPr>
        <w:t>known liabilities</w:t>
      </w:r>
      <w:r w:rsidRPr="00FD1B4D">
        <w:rPr>
          <w:rFonts w:asciiTheme="minorHAnsi" w:hAnsiTheme="minorHAnsi"/>
          <w:sz w:val="20"/>
          <w:szCs w:val="20"/>
        </w:rPr>
        <w:t xml:space="preserve">, also called </w:t>
      </w:r>
      <w:r w:rsidRPr="00FD1B4D">
        <w:rPr>
          <w:rFonts w:asciiTheme="minorHAnsi" w:hAnsiTheme="minorHAnsi"/>
          <w:i/>
          <w:iCs/>
          <w:sz w:val="20"/>
          <w:szCs w:val="20"/>
        </w:rPr>
        <w:t>definitely determinable liabilities.</w:t>
      </w:r>
      <w:r w:rsidRPr="00FD1B4D">
        <w:rPr>
          <w:rFonts w:asciiTheme="minorHAnsi" w:hAnsiTheme="minorHAnsi"/>
          <w:sz w:val="20"/>
          <w:szCs w:val="20"/>
        </w:rPr>
        <w:t xml:space="preserve"> Known liabilities include accounts payable, notes payable, payroll, sales taxes, unearned revenues, and leases.</w:t>
      </w:r>
    </w:p>
    <w:p w:rsidR="006A7EA3" w:rsidRPr="00FD1B4D" w:rsidRDefault="006A7EA3" w:rsidP="00FD1B4D">
      <w:pPr>
        <w:spacing w:after="0" w:line="240" w:lineRule="auto"/>
        <w:jc w:val="both"/>
        <w:rPr>
          <w:rFonts w:asciiTheme="minorHAnsi" w:eastAsia="Times New Roman" w:hAnsiTheme="minorHAnsi"/>
          <w:b/>
          <w:sz w:val="20"/>
          <w:szCs w:val="20"/>
        </w:rPr>
      </w:pPr>
      <w:r w:rsidRPr="00FD1B4D">
        <w:rPr>
          <w:rFonts w:asciiTheme="minorHAnsi" w:eastAsia="Times New Roman" w:hAnsiTheme="minorHAnsi"/>
          <w:b/>
          <w:sz w:val="20"/>
          <w:szCs w:val="20"/>
        </w:rPr>
        <w:t xml:space="preserve">Sales Taxes Payable </w:t>
      </w:r>
    </w:p>
    <w:p w:rsidR="006A7EA3" w:rsidRPr="00FD1B4D" w:rsidRDefault="006A7EA3" w:rsidP="00FD1B4D">
      <w:pPr>
        <w:spacing w:before="100" w:beforeAutospacing="1" w:after="100" w:afterAutospacing="1" w:line="240" w:lineRule="auto"/>
        <w:jc w:val="both"/>
        <w:rPr>
          <w:rFonts w:asciiTheme="minorHAnsi" w:eastAsia="Times New Roman" w:hAnsiTheme="minorHAnsi"/>
          <w:b/>
          <w:bCs/>
          <w:sz w:val="20"/>
          <w:szCs w:val="20"/>
        </w:rPr>
      </w:pPr>
      <w:r w:rsidRPr="00FD1B4D">
        <w:rPr>
          <w:rFonts w:asciiTheme="minorHAnsi" w:eastAsia="Times New Roman" w:hAnsiTheme="minorHAnsi"/>
          <w:sz w:val="20"/>
          <w:szCs w:val="20"/>
        </w:rPr>
        <w:t xml:space="preserve">Nearly all states and many cities levy taxes on retail sales. Sales taxes are stated as a percent of selling prices. The seller collects sales taxes from customers when sales occur and remits these collections (often monthly) to the proper government agency. Since sellers currently owe these collections to the government, this amount is a current liability. </w:t>
      </w:r>
    </w:p>
    <w:p w:rsidR="006A7EA3" w:rsidRPr="00FD1B4D" w:rsidRDefault="006A7EA3" w:rsidP="00FD1B4D">
      <w:pPr>
        <w:spacing w:before="100" w:beforeAutospacing="1" w:after="100" w:afterAutospacing="1" w:line="240" w:lineRule="auto"/>
        <w:jc w:val="both"/>
        <w:rPr>
          <w:rFonts w:asciiTheme="minorHAnsi" w:eastAsia="Times New Roman" w:hAnsiTheme="minorHAnsi"/>
          <w:sz w:val="20"/>
          <w:szCs w:val="20"/>
        </w:rPr>
      </w:pPr>
      <w:r w:rsidRPr="00FD1B4D">
        <w:rPr>
          <w:rFonts w:asciiTheme="minorHAnsi" w:eastAsia="Times New Roman" w:hAnsiTheme="minorHAnsi"/>
          <w:sz w:val="20"/>
          <w:szCs w:val="20"/>
        </w:rPr>
        <w:t>To illustrate, if Home Depot sells materials on August 31 for $6,000 cash that are subject to a 5% sales tax, the revenue portion of this transaction is recorded as follows:</w:t>
      </w:r>
    </w:p>
    <w:p w:rsidR="006A7EA3" w:rsidRDefault="006A7EA3" w:rsidP="00FD1B4D">
      <w:pPr>
        <w:spacing w:before="100" w:beforeAutospacing="1" w:after="100" w:afterAutospacing="1" w:line="240" w:lineRule="auto"/>
        <w:jc w:val="both"/>
        <w:rPr>
          <w:rFonts w:asciiTheme="minorHAnsi" w:eastAsia="Times New Roman" w:hAnsiTheme="minorHAnsi"/>
          <w:sz w:val="20"/>
          <w:szCs w:val="20"/>
        </w:rPr>
      </w:pPr>
      <w:r w:rsidRPr="00FD1B4D">
        <w:rPr>
          <w:rFonts w:asciiTheme="minorHAnsi" w:eastAsia="Times New Roman" w:hAnsiTheme="minorHAnsi"/>
          <w:sz w:val="20"/>
          <w:szCs w:val="20"/>
        </w:rPr>
        <w:t xml:space="preserve">Sales Taxes Payable is debited and Cash credited when it remits these collections to the government. </w:t>
      </w:r>
      <w:r w:rsidRPr="00FD1B4D">
        <w:rPr>
          <w:rFonts w:asciiTheme="minorHAnsi" w:eastAsia="Times New Roman" w:hAnsiTheme="minorHAnsi"/>
          <w:b/>
          <w:sz w:val="20"/>
          <w:szCs w:val="20"/>
        </w:rPr>
        <w:t xml:space="preserve">Sales Taxes Payable is not an expense. </w:t>
      </w:r>
      <w:r w:rsidRPr="00FD1B4D">
        <w:rPr>
          <w:rFonts w:asciiTheme="minorHAnsi" w:eastAsia="Times New Roman" w:hAnsiTheme="minorHAnsi"/>
          <w:sz w:val="20"/>
          <w:szCs w:val="20"/>
        </w:rPr>
        <w:t>It arises because laws require sellers to collect this cash from customers for the government</w:t>
      </w:r>
    </w:p>
    <w:p w:rsidR="00FD1B4D" w:rsidRPr="00FD1B4D" w:rsidRDefault="00FD1B4D" w:rsidP="00FD1B4D">
      <w:pPr>
        <w:spacing w:before="100" w:beforeAutospacing="1" w:after="100" w:afterAutospacing="1" w:line="240" w:lineRule="auto"/>
        <w:jc w:val="both"/>
        <w:rPr>
          <w:rFonts w:asciiTheme="minorHAnsi" w:eastAsia="Times New Roman" w:hAnsiTheme="minorHAnsi"/>
          <w:sz w:val="20"/>
          <w:szCs w:val="20"/>
        </w:rPr>
      </w:pPr>
      <w:r w:rsidRPr="00FD1B4D">
        <w:drawing>
          <wp:inline distT="0" distB="0" distL="0" distR="0" wp14:anchorId="07EAE7EF" wp14:editId="59D062B6">
            <wp:extent cx="2713355" cy="16268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3355" cy="1626870"/>
                    </a:xfrm>
                    <a:prstGeom prst="rect">
                      <a:avLst/>
                    </a:prstGeom>
                    <a:noFill/>
                    <a:ln>
                      <a:noFill/>
                    </a:ln>
                  </pic:spPr>
                </pic:pic>
              </a:graphicData>
            </a:graphic>
          </wp:inline>
        </w:drawing>
      </w:r>
    </w:p>
    <w:p w:rsidR="006A7EA3" w:rsidRPr="00FD1B4D" w:rsidRDefault="006A7EA3" w:rsidP="00FD1B4D">
      <w:pPr>
        <w:jc w:val="both"/>
        <w:rPr>
          <w:rFonts w:asciiTheme="minorHAnsi" w:eastAsia="Times New Roman" w:hAnsiTheme="minorHAnsi"/>
          <w:b/>
          <w:sz w:val="20"/>
          <w:szCs w:val="20"/>
        </w:rPr>
      </w:pPr>
      <w:r w:rsidRPr="00FD1B4D">
        <w:rPr>
          <w:rFonts w:asciiTheme="minorHAnsi" w:eastAsia="Times New Roman" w:hAnsiTheme="minorHAnsi"/>
          <w:b/>
          <w:sz w:val="20"/>
          <w:szCs w:val="20"/>
        </w:rPr>
        <w:br w:type="page"/>
      </w:r>
    </w:p>
    <w:p w:rsidR="006A7EA3" w:rsidRPr="00FD1B4D" w:rsidRDefault="006A7EA3" w:rsidP="00FD1B4D">
      <w:pPr>
        <w:spacing w:after="0" w:line="240" w:lineRule="auto"/>
        <w:jc w:val="both"/>
        <w:rPr>
          <w:rFonts w:asciiTheme="minorHAnsi" w:eastAsia="Times New Roman" w:hAnsiTheme="minorHAnsi"/>
          <w:b/>
          <w:sz w:val="20"/>
          <w:szCs w:val="20"/>
        </w:rPr>
      </w:pPr>
      <w:r w:rsidRPr="00FD1B4D">
        <w:rPr>
          <w:rFonts w:asciiTheme="minorHAnsi" w:eastAsia="Times New Roman" w:hAnsiTheme="minorHAnsi"/>
          <w:b/>
          <w:sz w:val="20"/>
          <w:szCs w:val="20"/>
        </w:rPr>
        <w:lastRenderedPageBreak/>
        <w:t xml:space="preserve">Unearned Revenues </w:t>
      </w:r>
    </w:p>
    <w:p w:rsidR="006A7EA3" w:rsidRDefault="006A7EA3" w:rsidP="00FD1B4D">
      <w:pPr>
        <w:spacing w:before="100" w:beforeAutospacing="1" w:after="100" w:afterAutospacing="1" w:line="240" w:lineRule="auto"/>
        <w:jc w:val="both"/>
        <w:rPr>
          <w:rFonts w:asciiTheme="minorHAnsi" w:eastAsia="Times New Roman" w:hAnsiTheme="minorHAnsi"/>
          <w:sz w:val="20"/>
          <w:szCs w:val="20"/>
        </w:rPr>
      </w:pPr>
      <w:r w:rsidRPr="00FD1B4D">
        <w:rPr>
          <w:rFonts w:asciiTheme="minorHAnsi" w:eastAsia="Times New Roman" w:hAnsiTheme="minorHAnsi"/>
          <w:i/>
          <w:iCs/>
          <w:sz w:val="20"/>
          <w:szCs w:val="20"/>
        </w:rPr>
        <w:t>Unearned revenues</w:t>
      </w:r>
      <w:r w:rsidRPr="00FD1B4D">
        <w:rPr>
          <w:rFonts w:asciiTheme="minorHAnsi" w:eastAsia="Times New Roman" w:hAnsiTheme="minorHAnsi"/>
          <w:sz w:val="20"/>
          <w:szCs w:val="20"/>
        </w:rPr>
        <w:t xml:space="preserve"> are amounts received in advance from customers for future products or services. Advance ticket sales for sporting events </w:t>
      </w:r>
      <w:r w:rsidR="00FD1B4D">
        <w:rPr>
          <w:rFonts w:asciiTheme="minorHAnsi" w:eastAsia="Times New Roman" w:hAnsiTheme="minorHAnsi"/>
          <w:sz w:val="20"/>
          <w:szCs w:val="20"/>
        </w:rPr>
        <w:t>or music concerts are examples as well as retainers for attorneys.</w:t>
      </w:r>
    </w:p>
    <w:p w:rsidR="00FD1B4D" w:rsidRPr="00FD1B4D" w:rsidRDefault="00FD1B4D" w:rsidP="00FD1B4D">
      <w:pPr>
        <w:spacing w:before="100" w:beforeAutospacing="1" w:after="100" w:afterAutospacing="1" w:line="240" w:lineRule="auto"/>
        <w:jc w:val="both"/>
        <w:rPr>
          <w:rFonts w:asciiTheme="minorHAnsi" w:eastAsia="Times New Roman" w:hAnsiTheme="minorHAnsi"/>
          <w:sz w:val="20"/>
          <w:szCs w:val="20"/>
        </w:rPr>
      </w:pPr>
      <w:r w:rsidRPr="00FD1B4D">
        <w:drawing>
          <wp:inline distT="0" distB="0" distL="0" distR="0" wp14:anchorId="2A67C45F" wp14:editId="69E54BB2">
            <wp:extent cx="2713355" cy="33274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3355" cy="332740"/>
                    </a:xfrm>
                    <a:prstGeom prst="rect">
                      <a:avLst/>
                    </a:prstGeom>
                    <a:noFill/>
                    <a:ln>
                      <a:noFill/>
                    </a:ln>
                  </pic:spPr>
                </pic:pic>
              </a:graphicData>
            </a:graphic>
          </wp:inline>
        </w:drawing>
      </w:r>
    </w:p>
    <w:p w:rsidR="006A7EA3" w:rsidRPr="00FD1B4D" w:rsidRDefault="00FD1B4D" w:rsidP="00FD1B4D">
      <w:pPr>
        <w:spacing w:before="100" w:beforeAutospacing="1" w:after="100" w:afterAutospacing="1" w:line="240" w:lineRule="auto"/>
        <w:jc w:val="both"/>
        <w:rPr>
          <w:rFonts w:asciiTheme="minorHAnsi" w:eastAsia="Times New Roman" w:hAnsiTheme="minorHAnsi"/>
          <w:sz w:val="20"/>
          <w:szCs w:val="20"/>
        </w:rPr>
      </w:pPr>
      <w:r>
        <w:rPr>
          <w:rFonts w:asciiTheme="minorHAnsi" w:eastAsia="Times New Roman" w:hAnsiTheme="minorHAnsi"/>
          <w:sz w:val="20"/>
          <w:szCs w:val="20"/>
        </w:rPr>
        <w:t xml:space="preserve">When the attorney works for the client, they </w:t>
      </w:r>
      <w:r w:rsidR="006A7EA3" w:rsidRPr="00FD1B4D">
        <w:rPr>
          <w:rFonts w:asciiTheme="minorHAnsi" w:eastAsia="Times New Roman" w:hAnsiTheme="minorHAnsi"/>
          <w:sz w:val="20"/>
          <w:szCs w:val="20"/>
        </w:rPr>
        <w:t>would record revenue for the portion earned.</w:t>
      </w:r>
    </w:p>
    <w:p w:rsidR="006A7EA3" w:rsidRPr="00FD1B4D" w:rsidRDefault="00FD1B4D" w:rsidP="00FD1B4D">
      <w:pPr>
        <w:spacing w:after="0" w:line="240" w:lineRule="auto"/>
        <w:jc w:val="both"/>
        <w:rPr>
          <w:rFonts w:asciiTheme="minorHAnsi" w:eastAsia="Times New Roman" w:hAnsiTheme="minorHAnsi"/>
          <w:sz w:val="20"/>
          <w:szCs w:val="20"/>
        </w:rPr>
      </w:pPr>
      <w:r w:rsidRPr="00FD1B4D">
        <w:drawing>
          <wp:inline distT="0" distB="0" distL="0" distR="0" wp14:anchorId="1C95EE0B" wp14:editId="3ED9D192">
            <wp:extent cx="2713355" cy="33274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3355" cy="332740"/>
                    </a:xfrm>
                    <a:prstGeom prst="rect">
                      <a:avLst/>
                    </a:prstGeom>
                    <a:noFill/>
                    <a:ln>
                      <a:noFill/>
                    </a:ln>
                  </pic:spPr>
                </pic:pic>
              </a:graphicData>
            </a:graphic>
          </wp:inline>
        </w:drawing>
      </w:r>
    </w:p>
    <w:p w:rsidR="006A7EA3" w:rsidRDefault="006A7EA3" w:rsidP="00FD1B4D">
      <w:pPr>
        <w:spacing w:before="100" w:beforeAutospacing="1" w:after="100" w:afterAutospacing="1" w:line="240" w:lineRule="auto"/>
        <w:jc w:val="both"/>
        <w:rPr>
          <w:rFonts w:asciiTheme="minorHAnsi" w:eastAsia="Times New Roman" w:hAnsiTheme="minorHAnsi"/>
          <w:sz w:val="20"/>
          <w:szCs w:val="20"/>
        </w:rPr>
      </w:pPr>
      <w:r w:rsidRPr="00FD1B4D">
        <w:rPr>
          <w:rFonts w:asciiTheme="minorHAnsi" w:eastAsia="Times New Roman" w:hAnsiTheme="minorHAnsi"/>
          <w:sz w:val="20"/>
          <w:szCs w:val="20"/>
        </w:rPr>
        <w:t xml:space="preserve">Unearned Ticket Revenue is an unearned revenue account and is reported as a current liability. </w:t>
      </w:r>
    </w:p>
    <w:p w:rsidR="007048B8" w:rsidRPr="00FD1B4D" w:rsidRDefault="00FD1B4D" w:rsidP="00FD1B4D">
      <w:pPr>
        <w:spacing w:before="100" w:beforeAutospacing="1" w:after="100" w:afterAutospacing="1" w:line="240" w:lineRule="auto"/>
        <w:jc w:val="both"/>
        <w:rPr>
          <w:rFonts w:asciiTheme="minorHAnsi" w:eastAsia="Times New Roman" w:hAnsiTheme="minorHAnsi"/>
          <w:b/>
          <w:sz w:val="20"/>
          <w:szCs w:val="20"/>
        </w:rPr>
      </w:pPr>
      <w:r>
        <w:rPr>
          <w:rFonts w:asciiTheme="minorHAnsi" w:eastAsia="Times New Roman" w:hAnsiTheme="minorHAnsi"/>
          <w:sz w:val="20"/>
          <w:szCs w:val="20"/>
        </w:rPr>
        <w:t xml:space="preserve">Remember when the exchange is between two companies, one company records the unearned revenue and the other a prepaid expense. </w:t>
      </w:r>
    </w:p>
    <w:p w:rsidR="00FD1B4D" w:rsidRDefault="00FD1B4D" w:rsidP="00FD1B4D">
      <w:pPr>
        <w:jc w:val="both"/>
        <w:rPr>
          <w:rFonts w:asciiTheme="minorHAnsi" w:eastAsia="Times New Roman" w:hAnsiTheme="minorHAnsi"/>
          <w:b/>
          <w:sz w:val="20"/>
          <w:szCs w:val="20"/>
        </w:rPr>
      </w:pPr>
      <w:r>
        <w:rPr>
          <w:rFonts w:asciiTheme="minorHAnsi" w:eastAsia="Times New Roman" w:hAnsiTheme="minorHAnsi"/>
          <w:b/>
          <w:sz w:val="20"/>
          <w:szCs w:val="20"/>
        </w:rPr>
        <w:br w:type="page"/>
      </w:r>
    </w:p>
    <w:p w:rsidR="00E51234" w:rsidRPr="00FD1B4D" w:rsidRDefault="00E51234" w:rsidP="00FD1B4D">
      <w:pPr>
        <w:spacing w:after="0" w:line="240" w:lineRule="auto"/>
        <w:jc w:val="both"/>
        <w:rPr>
          <w:rFonts w:asciiTheme="minorHAnsi" w:eastAsia="Times New Roman" w:hAnsiTheme="minorHAnsi"/>
          <w:b/>
          <w:sz w:val="20"/>
          <w:szCs w:val="20"/>
        </w:rPr>
      </w:pPr>
      <w:r w:rsidRPr="00FD1B4D">
        <w:rPr>
          <w:rFonts w:asciiTheme="minorHAnsi" w:eastAsia="Times New Roman" w:hAnsiTheme="minorHAnsi"/>
          <w:b/>
          <w:sz w:val="20"/>
          <w:szCs w:val="20"/>
        </w:rPr>
        <w:lastRenderedPageBreak/>
        <w:t xml:space="preserve">Short-Term Notes Payable </w:t>
      </w:r>
    </w:p>
    <w:p w:rsidR="00E51234" w:rsidRPr="00FD1B4D" w:rsidRDefault="00E51234" w:rsidP="00FD1B4D">
      <w:pPr>
        <w:spacing w:before="100" w:beforeAutospacing="1" w:after="100" w:afterAutospacing="1" w:line="240" w:lineRule="auto"/>
        <w:jc w:val="both"/>
        <w:rPr>
          <w:rFonts w:asciiTheme="minorHAnsi" w:eastAsia="Times New Roman" w:hAnsiTheme="minorHAnsi"/>
          <w:sz w:val="20"/>
          <w:szCs w:val="20"/>
        </w:rPr>
      </w:pPr>
      <w:r w:rsidRPr="00FD1B4D">
        <w:rPr>
          <w:rFonts w:asciiTheme="minorHAnsi" w:eastAsia="Times New Roman" w:hAnsiTheme="minorHAnsi"/>
          <w:sz w:val="20"/>
          <w:szCs w:val="20"/>
        </w:rPr>
        <w:t xml:space="preserve">A </w:t>
      </w:r>
      <w:r w:rsidRPr="00FD1B4D">
        <w:rPr>
          <w:rFonts w:asciiTheme="minorHAnsi" w:eastAsia="Times New Roman" w:hAnsiTheme="minorHAnsi"/>
          <w:b/>
          <w:bCs/>
          <w:sz w:val="20"/>
          <w:szCs w:val="20"/>
        </w:rPr>
        <w:t>short-term note payable</w:t>
      </w:r>
      <w:r w:rsidRPr="00FD1B4D">
        <w:rPr>
          <w:rFonts w:asciiTheme="minorHAnsi" w:eastAsia="Times New Roman" w:hAnsiTheme="minorHAnsi"/>
          <w:sz w:val="20"/>
          <w:szCs w:val="20"/>
        </w:rPr>
        <w:t xml:space="preserve"> is a written promise to pay a specified amount on a definite future date within one year or the company's operating cycle, whichever is longer. </w:t>
      </w:r>
    </w:p>
    <w:p w:rsidR="00E51234" w:rsidRDefault="00E51234" w:rsidP="00FD1B4D">
      <w:pPr>
        <w:spacing w:before="100" w:beforeAutospacing="1" w:after="100" w:afterAutospacing="1" w:line="240" w:lineRule="auto"/>
        <w:jc w:val="both"/>
        <w:rPr>
          <w:rFonts w:asciiTheme="minorHAnsi" w:eastAsia="Times New Roman" w:hAnsiTheme="minorHAnsi"/>
          <w:sz w:val="20"/>
          <w:szCs w:val="20"/>
        </w:rPr>
      </w:pPr>
      <w:r w:rsidRPr="00FD1B4D">
        <w:rPr>
          <w:rFonts w:asciiTheme="minorHAnsi" w:eastAsia="Times New Roman" w:hAnsiTheme="minorHAnsi"/>
          <w:sz w:val="20"/>
          <w:szCs w:val="20"/>
        </w:rPr>
        <w:t xml:space="preserve">These promissory notes are negotiable (as are checks), meaning they can be transferred from party to party by endorsement. The written documentation provided by notes is helpful in resolving disputes and for pursuing legal actions involving these liabilities. Most notes payable bear interest to compensate for use of the money until payment is made. Such notes also can arise when money is borrowed from a bank. </w:t>
      </w:r>
    </w:p>
    <w:p w:rsidR="00FD1B4D" w:rsidRPr="00FD1B4D" w:rsidRDefault="00FD1B4D" w:rsidP="00FD1B4D">
      <w:pPr>
        <w:spacing w:before="100" w:beforeAutospacing="1" w:after="100" w:afterAutospacing="1" w:line="240" w:lineRule="auto"/>
        <w:jc w:val="both"/>
        <w:rPr>
          <w:rFonts w:asciiTheme="minorHAnsi" w:eastAsia="Times New Roman" w:hAnsiTheme="minorHAnsi"/>
          <w:sz w:val="20"/>
          <w:szCs w:val="20"/>
        </w:rPr>
      </w:pPr>
      <w:r>
        <w:rPr>
          <w:rFonts w:asciiTheme="minorHAnsi" w:eastAsia="Times New Roman" w:hAnsiTheme="minorHAnsi"/>
          <w:sz w:val="20"/>
          <w:szCs w:val="20"/>
        </w:rPr>
        <w:t xml:space="preserve">Same dynamics apply as for notes receivable.  This is the other side of the transaction for another company. </w:t>
      </w:r>
    </w:p>
    <w:p w:rsidR="007048B8" w:rsidRPr="00FD1B4D" w:rsidRDefault="007048B8" w:rsidP="00FD1B4D">
      <w:pPr>
        <w:spacing w:before="100" w:beforeAutospacing="1" w:after="100" w:afterAutospacing="1" w:line="240" w:lineRule="auto"/>
        <w:jc w:val="both"/>
        <w:rPr>
          <w:rFonts w:asciiTheme="minorHAnsi" w:eastAsia="Times New Roman" w:hAnsiTheme="minorHAnsi"/>
          <w:b/>
          <w:sz w:val="20"/>
          <w:szCs w:val="20"/>
        </w:rPr>
      </w:pPr>
      <w:r w:rsidRPr="00FD1B4D">
        <w:rPr>
          <w:rFonts w:asciiTheme="minorHAnsi" w:eastAsia="Times New Roman" w:hAnsiTheme="minorHAnsi"/>
          <w:b/>
          <w:sz w:val="20"/>
          <w:szCs w:val="20"/>
        </w:rPr>
        <w:t xml:space="preserve">Note Given to Extend Credit Period </w:t>
      </w:r>
    </w:p>
    <w:p w:rsidR="007048B8" w:rsidRPr="00FD1B4D" w:rsidRDefault="007048B8" w:rsidP="00FD1B4D">
      <w:pPr>
        <w:spacing w:before="100" w:beforeAutospacing="1" w:after="100" w:afterAutospacing="1" w:line="240" w:lineRule="auto"/>
        <w:jc w:val="both"/>
        <w:rPr>
          <w:rFonts w:asciiTheme="minorHAnsi" w:eastAsia="Times New Roman" w:hAnsiTheme="minorHAnsi"/>
          <w:sz w:val="20"/>
          <w:szCs w:val="20"/>
        </w:rPr>
      </w:pPr>
      <w:r w:rsidRPr="00FD1B4D">
        <w:rPr>
          <w:rFonts w:asciiTheme="minorHAnsi" w:eastAsia="Times New Roman" w:hAnsiTheme="minorHAnsi"/>
          <w:sz w:val="20"/>
          <w:szCs w:val="20"/>
        </w:rPr>
        <w:t>A company can replace an account payable with a note payable. A common example is a creditor that requires the substitution of an interest-bearing note for an overdue account payable.</w:t>
      </w:r>
    </w:p>
    <w:p w:rsidR="007048B8" w:rsidRDefault="007048B8" w:rsidP="00FD1B4D">
      <w:pPr>
        <w:spacing w:before="100" w:beforeAutospacing="1" w:after="100" w:afterAutospacing="1" w:line="240" w:lineRule="auto"/>
        <w:jc w:val="both"/>
        <w:rPr>
          <w:rFonts w:asciiTheme="minorHAnsi" w:eastAsia="Times New Roman" w:hAnsiTheme="minorHAnsi"/>
          <w:sz w:val="20"/>
          <w:szCs w:val="20"/>
        </w:rPr>
      </w:pPr>
      <w:r w:rsidRPr="00FD1B4D">
        <w:rPr>
          <w:rFonts w:asciiTheme="minorHAnsi" w:eastAsia="Times New Roman" w:hAnsiTheme="minorHAnsi"/>
          <w:sz w:val="20"/>
          <w:szCs w:val="20"/>
        </w:rPr>
        <w:t>To illustrate, let's a</w:t>
      </w:r>
      <w:r w:rsidR="00FD1B4D">
        <w:rPr>
          <w:rFonts w:asciiTheme="minorHAnsi" w:eastAsia="Times New Roman" w:hAnsiTheme="minorHAnsi"/>
          <w:sz w:val="20"/>
          <w:szCs w:val="20"/>
        </w:rPr>
        <w:t>ssume a c</w:t>
      </w:r>
      <w:r w:rsidRPr="00FD1B4D">
        <w:rPr>
          <w:rFonts w:asciiTheme="minorHAnsi" w:eastAsia="Times New Roman" w:hAnsiTheme="minorHAnsi"/>
          <w:sz w:val="20"/>
          <w:szCs w:val="20"/>
        </w:rPr>
        <w:t>ompan</w:t>
      </w:r>
      <w:r w:rsidR="00FD1B4D">
        <w:rPr>
          <w:rFonts w:asciiTheme="minorHAnsi" w:eastAsia="Times New Roman" w:hAnsiTheme="minorHAnsi"/>
          <w:sz w:val="20"/>
          <w:szCs w:val="20"/>
        </w:rPr>
        <w:t>y asks to extend its past-due $600 account payable</w:t>
      </w:r>
      <w:r w:rsidRPr="00FD1B4D">
        <w:rPr>
          <w:rFonts w:asciiTheme="minorHAnsi" w:eastAsia="Times New Roman" w:hAnsiTheme="minorHAnsi"/>
          <w:sz w:val="20"/>
          <w:szCs w:val="20"/>
        </w:rPr>
        <w:t>. After some ne</w:t>
      </w:r>
      <w:r w:rsidR="00FD1B4D">
        <w:rPr>
          <w:rFonts w:asciiTheme="minorHAnsi" w:eastAsia="Times New Roman" w:hAnsiTheme="minorHAnsi"/>
          <w:sz w:val="20"/>
          <w:szCs w:val="20"/>
        </w:rPr>
        <w:t xml:space="preserve">gotiations, the companies settle on an agreement to </w:t>
      </w:r>
      <w:r w:rsidRPr="00FD1B4D">
        <w:rPr>
          <w:rFonts w:asciiTheme="minorHAnsi" w:eastAsia="Times New Roman" w:hAnsiTheme="minorHAnsi"/>
          <w:sz w:val="20"/>
          <w:szCs w:val="20"/>
        </w:rPr>
        <w:t>accept</w:t>
      </w:r>
      <w:r w:rsidR="00FD1B4D">
        <w:rPr>
          <w:rFonts w:asciiTheme="minorHAnsi" w:eastAsia="Times New Roman" w:hAnsiTheme="minorHAnsi"/>
          <w:sz w:val="20"/>
          <w:szCs w:val="20"/>
        </w:rPr>
        <w:t xml:space="preserve"> $100 cash and a 60-day, 12%, $5</w:t>
      </w:r>
      <w:r w:rsidRPr="00FD1B4D">
        <w:rPr>
          <w:rFonts w:asciiTheme="minorHAnsi" w:eastAsia="Times New Roman" w:hAnsiTheme="minorHAnsi"/>
          <w:sz w:val="20"/>
          <w:szCs w:val="20"/>
        </w:rPr>
        <w:t>00 note payable to replace the account</w:t>
      </w:r>
      <w:r w:rsidR="00FD1B4D">
        <w:rPr>
          <w:rFonts w:asciiTheme="minorHAnsi" w:eastAsia="Times New Roman" w:hAnsiTheme="minorHAnsi"/>
          <w:sz w:val="20"/>
          <w:szCs w:val="20"/>
        </w:rPr>
        <w:t>s</w:t>
      </w:r>
      <w:r w:rsidRPr="00FD1B4D">
        <w:rPr>
          <w:rFonts w:asciiTheme="minorHAnsi" w:eastAsia="Times New Roman" w:hAnsiTheme="minorHAnsi"/>
          <w:sz w:val="20"/>
          <w:szCs w:val="20"/>
        </w:rPr>
        <w:t xml:space="preserve"> payable. </w:t>
      </w:r>
    </w:p>
    <w:p w:rsidR="00FD1B4D" w:rsidRDefault="00FD1B4D" w:rsidP="00FD1B4D">
      <w:pPr>
        <w:jc w:val="both"/>
        <w:rPr>
          <w:rFonts w:asciiTheme="minorHAnsi" w:eastAsia="Times New Roman" w:hAnsiTheme="minorHAnsi"/>
          <w:sz w:val="20"/>
          <w:szCs w:val="20"/>
        </w:rPr>
      </w:pPr>
      <w:r w:rsidRPr="00FD1B4D">
        <w:drawing>
          <wp:inline distT="0" distB="0" distL="0" distR="0">
            <wp:extent cx="4850765" cy="819150"/>
            <wp:effectExtent l="0" t="0" r="698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0765" cy="819150"/>
                    </a:xfrm>
                    <a:prstGeom prst="rect">
                      <a:avLst/>
                    </a:prstGeom>
                    <a:noFill/>
                    <a:ln>
                      <a:noFill/>
                    </a:ln>
                  </pic:spPr>
                </pic:pic>
              </a:graphicData>
            </a:graphic>
          </wp:inline>
        </w:drawing>
      </w:r>
    </w:p>
    <w:p w:rsidR="00E51234" w:rsidRPr="00FD1B4D" w:rsidRDefault="00FD1B4D" w:rsidP="00FD1B4D">
      <w:pPr>
        <w:jc w:val="both"/>
        <w:rPr>
          <w:rFonts w:asciiTheme="minorHAnsi" w:eastAsia="Times New Roman" w:hAnsiTheme="minorHAnsi"/>
          <w:sz w:val="20"/>
          <w:szCs w:val="20"/>
        </w:rPr>
      </w:pPr>
      <w:r>
        <w:rPr>
          <w:rFonts w:asciiTheme="minorHAnsi" w:eastAsia="Times New Roman" w:hAnsiTheme="minorHAnsi"/>
          <w:sz w:val="20"/>
          <w:szCs w:val="20"/>
        </w:rPr>
        <w:t>The lender prefers the note receivable</w:t>
      </w:r>
      <w:r w:rsidR="007048B8" w:rsidRPr="00FD1B4D">
        <w:rPr>
          <w:rFonts w:asciiTheme="minorHAnsi" w:eastAsia="Times New Roman" w:hAnsiTheme="minorHAnsi"/>
          <w:sz w:val="20"/>
          <w:szCs w:val="20"/>
        </w:rPr>
        <w:t xml:space="preserve"> over the account</w:t>
      </w:r>
      <w:r>
        <w:rPr>
          <w:rFonts w:asciiTheme="minorHAnsi" w:eastAsia="Times New Roman" w:hAnsiTheme="minorHAnsi"/>
          <w:sz w:val="20"/>
          <w:szCs w:val="20"/>
        </w:rPr>
        <w:t>s receivable</w:t>
      </w:r>
      <w:r w:rsidR="007048B8" w:rsidRPr="00FD1B4D">
        <w:rPr>
          <w:rFonts w:asciiTheme="minorHAnsi" w:eastAsia="Times New Roman" w:hAnsiTheme="minorHAnsi"/>
          <w:sz w:val="20"/>
          <w:szCs w:val="20"/>
        </w:rPr>
        <w:t xml:space="preserve"> because it earns interest</w:t>
      </w:r>
      <w:r>
        <w:rPr>
          <w:rFonts w:asciiTheme="minorHAnsi" w:eastAsia="Times New Roman" w:hAnsiTheme="minorHAnsi"/>
          <w:sz w:val="20"/>
          <w:szCs w:val="20"/>
        </w:rPr>
        <w:t>,</w:t>
      </w:r>
      <w:r w:rsidR="007048B8" w:rsidRPr="00FD1B4D">
        <w:rPr>
          <w:rFonts w:asciiTheme="minorHAnsi" w:eastAsia="Times New Roman" w:hAnsiTheme="minorHAnsi"/>
          <w:sz w:val="20"/>
          <w:szCs w:val="20"/>
        </w:rPr>
        <w:t xml:space="preserve"> and it is</w:t>
      </w:r>
      <w:r>
        <w:rPr>
          <w:rFonts w:asciiTheme="minorHAnsi" w:eastAsia="Times New Roman" w:hAnsiTheme="minorHAnsi"/>
          <w:sz w:val="20"/>
          <w:szCs w:val="20"/>
        </w:rPr>
        <w:t xml:space="preserve"> written </w:t>
      </w:r>
      <w:r w:rsidR="007048B8" w:rsidRPr="00FD1B4D">
        <w:rPr>
          <w:rFonts w:asciiTheme="minorHAnsi" w:eastAsia="Times New Roman" w:hAnsiTheme="minorHAnsi"/>
          <w:sz w:val="20"/>
          <w:szCs w:val="20"/>
        </w:rPr>
        <w:t>documentation of the debt's existence, term, and a</w:t>
      </w:r>
      <w:r>
        <w:rPr>
          <w:rFonts w:asciiTheme="minorHAnsi" w:eastAsia="Times New Roman" w:hAnsiTheme="minorHAnsi"/>
          <w:sz w:val="20"/>
          <w:szCs w:val="20"/>
        </w:rPr>
        <w:t>mount. When the note comes due</w:t>
      </w:r>
    </w:p>
    <w:p w:rsidR="007048B8" w:rsidRPr="00FD1B4D" w:rsidRDefault="00FD1B4D" w:rsidP="00FD1B4D">
      <w:pPr>
        <w:spacing w:after="0" w:line="240" w:lineRule="auto"/>
        <w:jc w:val="both"/>
        <w:rPr>
          <w:rFonts w:asciiTheme="minorHAnsi" w:eastAsia="Times New Roman" w:hAnsiTheme="minorHAnsi"/>
          <w:sz w:val="20"/>
          <w:szCs w:val="20"/>
        </w:rPr>
      </w:pPr>
      <w:r w:rsidRPr="00FD1B4D">
        <w:drawing>
          <wp:inline distT="0" distB="0" distL="0" distR="0">
            <wp:extent cx="4726305" cy="8191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26305" cy="819150"/>
                    </a:xfrm>
                    <a:prstGeom prst="rect">
                      <a:avLst/>
                    </a:prstGeom>
                    <a:noFill/>
                    <a:ln>
                      <a:noFill/>
                    </a:ln>
                  </pic:spPr>
                </pic:pic>
              </a:graphicData>
            </a:graphic>
          </wp:inline>
        </w:drawing>
      </w:r>
    </w:p>
    <w:p w:rsidR="008B66E4" w:rsidRPr="00FD1B4D" w:rsidRDefault="007048B8" w:rsidP="00FD1B4D">
      <w:pPr>
        <w:jc w:val="both"/>
        <w:rPr>
          <w:rFonts w:asciiTheme="minorHAnsi" w:hAnsiTheme="minorHAnsi"/>
          <w:b/>
          <w:sz w:val="20"/>
          <w:szCs w:val="20"/>
        </w:rPr>
      </w:pPr>
      <w:r w:rsidRPr="00FD1B4D">
        <w:rPr>
          <w:rFonts w:asciiTheme="minorHAnsi" w:hAnsiTheme="minorHAnsi"/>
          <w:noProof/>
          <w:sz w:val="20"/>
          <w:szCs w:val="20"/>
        </w:rPr>
        <w:drawing>
          <wp:inline distT="0" distB="0" distL="0" distR="0" wp14:anchorId="0C0B732F" wp14:editId="2E4E79DD">
            <wp:extent cx="2674620" cy="24612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74620" cy="2461260"/>
                    </a:xfrm>
                    <a:prstGeom prst="rect">
                      <a:avLst/>
                    </a:prstGeom>
                    <a:noFill/>
                    <a:ln>
                      <a:noFill/>
                    </a:ln>
                  </pic:spPr>
                </pic:pic>
              </a:graphicData>
            </a:graphic>
          </wp:inline>
        </w:drawing>
      </w:r>
    </w:p>
    <w:p w:rsidR="007048B8" w:rsidRPr="00FD1B4D" w:rsidRDefault="007048B8" w:rsidP="00FD1B4D">
      <w:pPr>
        <w:jc w:val="both"/>
        <w:rPr>
          <w:rFonts w:asciiTheme="minorHAnsi" w:hAnsiTheme="minorHAnsi"/>
          <w:b/>
          <w:sz w:val="20"/>
          <w:szCs w:val="20"/>
        </w:rPr>
      </w:pPr>
      <w:r w:rsidRPr="00FD1B4D">
        <w:rPr>
          <w:rFonts w:asciiTheme="minorHAnsi" w:hAnsiTheme="minorHAnsi"/>
          <w:b/>
          <w:sz w:val="20"/>
          <w:szCs w:val="20"/>
        </w:rPr>
        <w:br w:type="page"/>
      </w:r>
    </w:p>
    <w:p w:rsidR="00E12298" w:rsidRPr="00FD1B4D" w:rsidRDefault="00E12298" w:rsidP="00FD1B4D">
      <w:pPr>
        <w:spacing w:before="100" w:beforeAutospacing="1" w:after="100" w:afterAutospacing="1" w:line="240" w:lineRule="auto"/>
        <w:jc w:val="both"/>
        <w:rPr>
          <w:rFonts w:asciiTheme="minorHAnsi" w:eastAsia="Times New Roman" w:hAnsiTheme="minorHAnsi"/>
          <w:b/>
          <w:sz w:val="20"/>
          <w:szCs w:val="20"/>
        </w:rPr>
      </w:pPr>
      <w:r w:rsidRPr="00FD1B4D">
        <w:rPr>
          <w:rFonts w:asciiTheme="minorHAnsi" w:eastAsia="Times New Roman" w:hAnsiTheme="minorHAnsi"/>
          <w:b/>
          <w:sz w:val="20"/>
          <w:szCs w:val="20"/>
        </w:rPr>
        <w:lastRenderedPageBreak/>
        <w:t xml:space="preserve">Note Given to Borrow from Bank </w:t>
      </w:r>
    </w:p>
    <w:p w:rsidR="00156E62" w:rsidRPr="00FD1B4D" w:rsidRDefault="00E12298" w:rsidP="00FD1B4D">
      <w:pPr>
        <w:spacing w:before="100" w:beforeAutospacing="1" w:after="100" w:afterAutospacing="1" w:line="240" w:lineRule="auto"/>
        <w:jc w:val="both"/>
        <w:rPr>
          <w:rFonts w:asciiTheme="minorHAnsi" w:eastAsia="Times New Roman" w:hAnsiTheme="minorHAnsi"/>
          <w:sz w:val="20"/>
          <w:szCs w:val="20"/>
        </w:rPr>
      </w:pPr>
      <w:r w:rsidRPr="00FD1B4D">
        <w:rPr>
          <w:rFonts w:asciiTheme="minorHAnsi" w:eastAsia="Times New Roman" w:hAnsiTheme="minorHAnsi"/>
          <w:sz w:val="20"/>
          <w:szCs w:val="20"/>
        </w:rPr>
        <w:t xml:space="preserve">A bank nearly always requires a borrower to sign a promissory note when making a loan. When the note matures, the borrower repays the note </w:t>
      </w:r>
      <w:r w:rsidR="00156E62" w:rsidRPr="00FD1B4D">
        <w:rPr>
          <w:rFonts w:asciiTheme="minorHAnsi" w:eastAsia="Times New Roman" w:hAnsiTheme="minorHAnsi"/>
          <w:sz w:val="20"/>
          <w:szCs w:val="20"/>
        </w:rPr>
        <w:t xml:space="preserve">plus </w:t>
      </w:r>
      <w:r w:rsidRPr="00FD1B4D">
        <w:rPr>
          <w:rFonts w:asciiTheme="minorHAnsi" w:eastAsia="Times New Roman" w:hAnsiTheme="minorHAnsi"/>
          <w:i/>
          <w:iCs/>
          <w:sz w:val="20"/>
          <w:szCs w:val="20"/>
        </w:rPr>
        <w:t>interest</w:t>
      </w:r>
      <w:r w:rsidRPr="00FD1B4D">
        <w:rPr>
          <w:rFonts w:asciiTheme="minorHAnsi" w:eastAsia="Times New Roman" w:hAnsiTheme="minorHAnsi"/>
          <w:sz w:val="20"/>
          <w:szCs w:val="20"/>
        </w:rPr>
        <w:t xml:space="preserve">. </w:t>
      </w:r>
      <w:r w:rsidR="00156E62" w:rsidRPr="00FD1B4D">
        <w:rPr>
          <w:rFonts w:asciiTheme="minorHAnsi" w:eastAsia="Times New Roman" w:hAnsiTheme="minorHAnsi"/>
          <w:sz w:val="20"/>
          <w:szCs w:val="20"/>
        </w:rPr>
        <w:t xml:space="preserve"> T</w:t>
      </w:r>
      <w:r w:rsidRPr="00FD1B4D">
        <w:rPr>
          <w:rFonts w:asciiTheme="minorHAnsi" w:eastAsia="Times New Roman" w:hAnsiTheme="minorHAnsi"/>
          <w:sz w:val="20"/>
          <w:szCs w:val="20"/>
        </w:rPr>
        <w:t xml:space="preserve">he </w:t>
      </w:r>
      <w:r w:rsidRPr="00FD1B4D">
        <w:rPr>
          <w:rFonts w:asciiTheme="minorHAnsi" w:eastAsia="Times New Roman" w:hAnsiTheme="minorHAnsi"/>
          <w:i/>
          <w:iCs/>
          <w:sz w:val="20"/>
          <w:szCs w:val="20"/>
        </w:rPr>
        <w:t>face value</w:t>
      </w:r>
      <w:r w:rsidRPr="00FD1B4D">
        <w:rPr>
          <w:rFonts w:asciiTheme="minorHAnsi" w:eastAsia="Times New Roman" w:hAnsiTheme="minorHAnsi"/>
          <w:sz w:val="20"/>
          <w:szCs w:val="20"/>
        </w:rPr>
        <w:t xml:space="preserve"> of the note equals principal. Face value is the value shown on the face (front) of the note. </w:t>
      </w:r>
    </w:p>
    <w:p w:rsidR="00156E62" w:rsidRPr="00FD1B4D" w:rsidRDefault="00E12298" w:rsidP="00FD1B4D">
      <w:pPr>
        <w:spacing w:before="100" w:beforeAutospacing="1" w:after="100" w:afterAutospacing="1" w:line="240" w:lineRule="auto"/>
        <w:jc w:val="both"/>
        <w:rPr>
          <w:rFonts w:asciiTheme="minorHAnsi" w:eastAsia="Times New Roman" w:hAnsiTheme="minorHAnsi"/>
          <w:sz w:val="20"/>
          <w:szCs w:val="20"/>
        </w:rPr>
      </w:pPr>
      <w:r w:rsidRPr="00FD1B4D">
        <w:rPr>
          <w:rFonts w:asciiTheme="minorHAnsi" w:eastAsia="Times New Roman" w:hAnsiTheme="minorHAnsi"/>
          <w:sz w:val="20"/>
          <w:szCs w:val="20"/>
        </w:rPr>
        <w:t>To illustrate, assume that a company needs $2,000 for a project and borrows this money from a bank at 12% annual interest. The lo</w:t>
      </w:r>
      <w:r w:rsidR="00FD1B4D">
        <w:rPr>
          <w:rFonts w:asciiTheme="minorHAnsi" w:eastAsia="Times New Roman" w:hAnsiTheme="minorHAnsi"/>
          <w:sz w:val="20"/>
          <w:szCs w:val="20"/>
        </w:rPr>
        <w:t>an is made on September 30</w:t>
      </w:r>
      <w:r w:rsidRPr="00FD1B4D">
        <w:rPr>
          <w:rFonts w:asciiTheme="minorHAnsi" w:eastAsia="Times New Roman" w:hAnsiTheme="minorHAnsi"/>
          <w:sz w:val="20"/>
          <w:szCs w:val="20"/>
        </w:rPr>
        <w:t xml:space="preserve">, and is due in 60 days. </w:t>
      </w:r>
    </w:p>
    <w:p w:rsidR="00E12298" w:rsidRPr="00FD1B4D" w:rsidRDefault="00E12298" w:rsidP="00FD1B4D">
      <w:pPr>
        <w:spacing w:before="100" w:beforeAutospacing="1" w:after="100" w:afterAutospacing="1" w:line="240" w:lineRule="auto"/>
        <w:jc w:val="both"/>
        <w:rPr>
          <w:rFonts w:asciiTheme="minorHAnsi" w:eastAsia="Times New Roman" w:hAnsiTheme="minorHAnsi"/>
          <w:sz w:val="20"/>
          <w:szCs w:val="20"/>
        </w:rPr>
      </w:pPr>
      <w:r w:rsidRPr="00FD1B4D">
        <w:rPr>
          <w:rFonts w:asciiTheme="minorHAnsi" w:eastAsia="Times New Roman" w:hAnsiTheme="minorHAnsi"/>
          <w:sz w:val="20"/>
          <w:szCs w:val="20"/>
        </w:rPr>
        <w:t>The borrower records its receipt of cash and the new liability with this entry:</w:t>
      </w:r>
    </w:p>
    <w:p w:rsidR="00E12298" w:rsidRPr="00FD1B4D" w:rsidRDefault="00FD1B4D" w:rsidP="00FD1B4D">
      <w:pPr>
        <w:spacing w:after="0" w:line="240" w:lineRule="auto"/>
        <w:jc w:val="both"/>
        <w:rPr>
          <w:rFonts w:asciiTheme="minorHAnsi" w:eastAsia="Times New Roman" w:hAnsiTheme="minorHAnsi"/>
          <w:sz w:val="20"/>
          <w:szCs w:val="20"/>
        </w:rPr>
      </w:pPr>
      <w:r w:rsidRPr="00FD1B4D">
        <w:drawing>
          <wp:inline distT="0" distB="0" distL="0" distR="0">
            <wp:extent cx="2713355" cy="33274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13355" cy="332740"/>
                    </a:xfrm>
                    <a:prstGeom prst="rect">
                      <a:avLst/>
                    </a:prstGeom>
                    <a:noFill/>
                    <a:ln>
                      <a:noFill/>
                    </a:ln>
                  </pic:spPr>
                </pic:pic>
              </a:graphicData>
            </a:graphic>
          </wp:inline>
        </w:drawing>
      </w:r>
    </w:p>
    <w:p w:rsidR="00156E62" w:rsidRPr="00FD1B4D" w:rsidRDefault="00156E62" w:rsidP="00FD1B4D">
      <w:pPr>
        <w:spacing w:before="100" w:beforeAutospacing="1" w:after="100" w:afterAutospacing="1" w:line="240" w:lineRule="auto"/>
        <w:jc w:val="both"/>
        <w:rPr>
          <w:rFonts w:asciiTheme="minorHAnsi" w:eastAsia="Times New Roman" w:hAnsiTheme="minorHAnsi"/>
          <w:sz w:val="20"/>
          <w:szCs w:val="20"/>
        </w:rPr>
      </w:pPr>
      <w:r w:rsidRPr="00FD1B4D">
        <w:rPr>
          <w:rFonts w:asciiTheme="minorHAnsi" w:hAnsiTheme="minorHAnsi"/>
          <w:noProof/>
          <w:sz w:val="20"/>
          <w:szCs w:val="20"/>
        </w:rPr>
        <w:drawing>
          <wp:inline distT="0" distB="0" distL="0" distR="0" wp14:anchorId="5AA65F22" wp14:editId="3B9C8AEC">
            <wp:extent cx="4861560" cy="24612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61560" cy="2461260"/>
                    </a:xfrm>
                    <a:prstGeom prst="rect">
                      <a:avLst/>
                    </a:prstGeom>
                    <a:noFill/>
                    <a:ln>
                      <a:noFill/>
                    </a:ln>
                  </pic:spPr>
                </pic:pic>
              </a:graphicData>
            </a:graphic>
          </wp:inline>
        </w:drawing>
      </w:r>
    </w:p>
    <w:p w:rsidR="00FD1B4D" w:rsidRPr="00FD1B4D" w:rsidRDefault="00E12298" w:rsidP="00FD1B4D">
      <w:pPr>
        <w:spacing w:before="100" w:beforeAutospacing="1" w:after="100" w:afterAutospacing="1" w:line="240" w:lineRule="auto"/>
        <w:jc w:val="both"/>
        <w:rPr>
          <w:rFonts w:asciiTheme="minorHAnsi" w:eastAsia="Times New Roman" w:hAnsiTheme="minorHAnsi"/>
          <w:b/>
          <w:sz w:val="20"/>
          <w:szCs w:val="20"/>
        </w:rPr>
      </w:pPr>
      <w:r w:rsidRPr="00FD1B4D">
        <w:rPr>
          <w:rFonts w:asciiTheme="minorHAnsi" w:eastAsia="Times New Roman" w:hAnsiTheme="minorHAnsi"/>
          <w:b/>
          <w:sz w:val="20"/>
          <w:szCs w:val="20"/>
        </w:rPr>
        <w:t>When p</w:t>
      </w:r>
      <w:r w:rsidR="00FD1B4D" w:rsidRPr="00FD1B4D">
        <w:rPr>
          <w:rFonts w:asciiTheme="minorHAnsi" w:eastAsia="Times New Roman" w:hAnsiTheme="minorHAnsi"/>
          <w:b/>
          <w:sz w:val="20"/>
          <w:szCs w:val="20"/>
        </w:rPr>
        <w:t>rincipal and interest are paid</w:t>
      </w:r>
    </w:p>
    <w:p w:rsidR="00156E62" w:rsidRPr="00FD1B4D" w:rsidRDefault="00FD1B4D" w:rsidP="00FD1B4D">
      <w:pPr>
        <w:spacing w:before="100" w:beforeAutospacing="1" w:after="100" w:afterAutospacing="1" w:line="240" w:lineRule="auto"/>
        <w:jc w:val="both"/>
        <w:rPr>
          <w:rFonts w:asciiTheme="minorHAnsi" w:eastAsia="Times New Roman" w:hAnsiTheme="minorHAnsi"/>
          <w:sz w:val="20"/>
          <w:szCs w:val="20"/>
        </w:rPr>
      </w:pPr>
      <w:r w:rsidRPr="00FD1B4D">
        <w:drawing>
          <wp:inline distT="0" distB="0" distL="0" distR="0" wp14:anchorId="5A3CD551" wp14:editId="6AD0683A">
            <wp:extent cx="4850765" cy="819150"/>
            <wp:effectExtent l="0" t="0" r="698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50765" cy="819150"/>
                    </a:xfrm>
                    <a:prstGeom prst="rect">
                      <a:avLst/>
                    </a:prstGeom>
                    <a:noFill/>
                    <a:ln>
                      <a:noFill/>
                    </a:ln>
                  </pic:spPr>
                </pic:pic>
              </a:graphicData>
            </a:graphic>
          </wp:inline>
        </w:drawing>
      </w:r>
      <w:r w:rsidR="00156E62" w:rsidRPr="00FD1B4D">
        <w:rPr>
          <w:rFonts w:asciiTheme="minorHAnsi" w:eastAsia="Times New Roman" w:hAnsiTheme="minorHAnsi"/>
          <w:sz w:val="20"/>
          <w:szCs w:val="20"/>
        </w:rPr>
        <w:br w:type="page"/>
      </w:r>
    </w:p>
    <w:p w:rsidR="00156E62" w:rsidRPr="00FD1B4D" w:rsidRDefault="00E12298" w:rsidP="00FD1B4D">
      <w:pPr>
        <w:spacing w:before="100" w:beforeAutospacing="1" w:after="100" w:afterAutospacing="1" w:line="240" w:lineRule="auto"/>
        <w:jc w:val="both"/>
        <w:rPr>
          <w:rFonts w:asciiTheme="minorHAnsi" w:eastAsia="Times New Roman" w:hAnsiTheme="minorHAnsi"/>
          <w:b/>
          <w:sz w:val="20"/>
          <w:szCs w:val="20"/>
        </w:rPr>
      </w:pPr>
      <w:proofErr w:type="gramStart"/>
      <w:r w:rsidRPr="00FD1B4D">
        <w:rPr>
          <w:rFonts w:asciiTheme="minorHAnsi" w:eastAsia="Times New Roman" w:hAnsiTheme="minorHAnsi"/>
          <w:b/>
          <w:sz w:val="20"/>
          <w:szCs w:val="20"/>
        </w:rPr>
        <w:lastRenderedPageBreak/>
        <w:t>End-of-period interest adjustment.</w:t>
      </w:r>
      <w:proofErr w:type="gramEnd"/>
      <w:r w:rsidRPr="00FD1B4D">
        <w:rPr>
          <w:rFonts w:asciiTheme="minorHAnsi" w:eastAsia="Times New Roman" w:hAnsiTheme="minorHAnsi"/>
          <w:b/>
          <w:sz w:val="20"/>
          <w:szCs w:val="20"/>
        </w:rPr>
        <w:t xml:space="preserve"> </w:t>
      </w:r>
    </w:p>
    <w:p w:rsidR="00156E62" w:rsidRPr="00FD1B4D" w:rsidRDefault="00E12298" w:rsidP="00FD1B4D">
      <w:pPr>
        <w:spacing w:before="100" w:beforeAutospacing="1" w:after="100" w:afterAutospacing="1" w:line="240" w:lineRule="auto"/>
        <w:jc w:val="both"/>
        <w:rPr>
          <w:rFonts w:asciiTheme="minorHAnsi" w:eastAsia="Times New Roman" w:hAnsiTheme="minorHAnsi"/>
          <w:sz w:val="20"/>
          <w:szCs w:val="20"/>
        </w:rPr>
      </w:pPr>
      <w:r w:rsidRPr="00FD1B4D">
        <w:rPr>
          <w:rFonts w:asciiTheme="minorHAnsi" w:eastAsia="Times New Roman" w:hAnsiTheme="minorHAnsi"/>
          <w:sz w:val="20"/>
          <w:szCs w:val="20"/>
        </w:rPr>
        <w:t xml:space="preserve">When the end of an accounting period occurs between the signing of a note payable and its maturity date, the </w:t>
      </w:r>
      <w:r w:rsidRPr="00FD1B4D">
        <w:rPr>
          <w:rFonts w:asciiTheme="minorHAnsi" w:eastAsia="Times New Roman" w:hAnsiTheme="minorHAnsi"/>
          <w:i/>
          <w:iCs/>
          <w:sz w:val="20"/>
          <w:szCs w:val="20"/>
        </w:rPr>
        <w:t>matching principle</w:t>
      </w:r>
      <w:r w:rsidRPr="00FD1B4D">
        <w:rPr>
          <w:rFonts w:asciiTheme="minorHAnsi" w:eastAsia="Times New Roman" w:hAnsiTheme="minorHAnsi"/>
          <w:sz w:val="20"/>
          <w:szCs w:val="20"/>
        </w:rPr>
        <w:t xml:space="preserve"> requires us to record the accrued but unpaid interest on the note. </w:t>
      </w:r>
    </w:p>
    <w:p w:rsidR="00156E62" w:rsidRPr="00FD1B4D" w:rsidRDefault="00156E62" w:rsidP="00FD1B4D">
      <w:pPr>
        <w:spacing w:before="100" w:beforeAutospacing="1" w:after="100" w:afterAutospacing="1" w:line="240" w:lineRule="auto"/>
        <w:jc w:val="both"/>
        <w:rPr>
          <w:rFonts w:asciiTheme="minorHAnsi" w:eastAsia="Times New Roman" w:hAnsiTheme="minorHAnsi"/>
          <w:sz w:val="20"/>
          <w:szCs w:val="20"/>
        </w:rPr>
      </w:pPr>
      <w:r w:rsidRPr="00FD1B4D">
        <w:rPr>
          <w:rFonts w:asciiTheme="minorHAnsi" w:eastAsia="Times New Roman" w:hAnsiTheme="minorHAnsi"/>
          <w:sz w:val="20"/>
          <w:szCs w:val="20"/>
        </w:rPr>
        <w:t xml:space="preserve">To illustrate, a </w:t>
      </w:r>
      <w:r w:rsidR="00E12298" w:rsidRPr="00FD1B4D">
        <w:rPr>
          <w:rFonts w:asciiTheme="minorHAnsi" w:eastAsia="Times New Roman" w:hAnsiTheme="minorHAnsi"/>
          <w:sz w:val="20"/>
          <w:szCs w:val="20"/>
        </w:rPr>
        <w:t>company borrows $2</w:t>
      </w:r>
      <w:r w:rsidR="0027650C">
        <w:rPr>
          <w:rFonts w:asciiTheme="minorHAnsi" w:eastAsia="Times New Roman" w:hAnsiTheme="minorHAnsi"/>
          <w:sz w:val="20"/>
          <w:szCs w:val="20"/>
        </w:rPr>
        <w:t>,000 cash on December 16</w:t>
      </w:r>
      <w:r w:rsidRPr="00FD1B4D">
        <w:rPr>
          <w:rFonts w:asciiTheme="minorHAnsi" w:eastAsia="Times New Roman" w:hAnsiTheme="minorHAnsi"/>
          <w:sz w:val="20"/>
          <w:szCs w:val="20"/>
        </w:rPr>
        <w:t xml:space="preserve">.  </w:t>
      </w:r>
      <w:r w:rsidR="00E12298" w:rsidRPr="00FD1B4D">
        <w:rPr>
          <w:rFonts w:asciiTheme="minorHAnsi" w:eastAsia="Times New Roman" w:hAnsiTheme="minorHAnsi"/>
          <w:sz w:val="20"/>
          <w:szCs w:val="20"/>
        </w:rPr>
        <w:t>This 60-day n</w:t>
      </w:r>
      <w:r w:rsidR="0027650C">
        <w:rPr>
          <w:rFonts w:asciiTheme="minorHAnsi" w:eastAsia="Times New Roman" w:hAnsiTheme="minorHAnsi"/>
          <w:sz w:val="20"/>
          <w:szCs w:val="20"/>
        </w:rPr>
        <w:t xml:space="preserve">ote matures on February 14, </w:t>
      </w:r>
      <w:r w:rsidR="00E12298" w:rsidRPr="00FD1B4D">
        <w:rPr>
          <w:rFonts w:asciiTheme="minorHAnsi" w:eastAsia="Times New Roman" w:hAnsiTheme="minorHAnsi"/>
          <w:sz w:val="20"/>
          <w:szCs w:val="20"/>
        </w:rPr>
        <w:t xml:space="preserve">and the company's fiscal year ends on December 31. </w:t>
      </w:r>
    </w:p>
    <w:p w:rsidR="00156E62" w:rsidRPr="00FD1B4D" w:rsidRDefault="0027650C" w:rsidP="00FD1B4D">
      <w:pPr>
        <w:spacing w:before="100" w:beforeAutospacing="1" w:after="100" w:afterAutospacing="1" w:line="240" w:lineRule="auto"/>
        <w:jc w:val="both"/>
        <w:rPr>
          <w:rFonts w:asciiTheme="minorHAnsi" w:eastAsia="Times New Roman" w:hAnsiTheme="minorHAnsi"/>
          <w:sz w:val="20"/>
          <w:szCs w:val="20"/>
        </w:rPr>
      </w:pPr>
      <w:r w:rsidRPr="0027650C">
        <w:drawing>
          <wp:inline distT="0" distB="0" distL="0" distR="0">
            <wp:extent cx="5236845" cy="3895090"/>
            <wp:effectExtent l="0" t="0" r="190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36845" cy="3895090"/>
                    </a:xfrm>
                    <a:prstGeom prst="rect">
                      <a:avLst/>
                    </a:prstGeom>
                    <a:noFill/>
                    <a:ln>
                      <a:noFill/>
                    </a:ln>
                  </pic:spPr>
                </pic:pic>
              </a:graphicData>
            </a:graphic>
          </wp:inline>
        </w:drawing>
      </w:r>
    </w:p>
    <w:p w:rsidR="00E12298" w:rsidRPr="00FD1B4D" w:rsidRDefault="001A470B" w:rsidP="001A470B">
      <w:pPr>
        <w:spacing w:after="0" w:line="240" w:lineRule="auto"/>
        <w:jc w:val="both"/>
        <w:rPr>
          <w:rFonts w:asciiTheme="minorHAnsi" w:eastAsia="Times New Roman" w:hAnsiTheme="minorHAnsi"/>
          <w:sz w:val="20"/>
          <w:szCs w:val="20"/>
        </w:rPr>
      </w:pPr>
      <w:r>
        <w:rPr>
          <w:rFonts w:asciiTheme="minorHAnsi" w:eastAsia="Times New Roman" w:hAnsiTheme="minorHAnsi"/>
          <w:sz w:val="20"/>
          <w:szCs w:val="20"/>
        </w:rPr>
        <w:t>Journal entries for borrower and lender</w:t>
      </w:r>
    </w:p>
    <w:p w:rsidR="00E12298" w:rsidRPr="00FD1B4D" w:rsidRDefault="0027650C" w:rsidP="00FD1B4D">
      <w:pPr>
        <w:spacing w:after="0" w:line="240" w:lineRule="auto"/>
        <w:jc w:val="both"/>
        <w:rPr>
          <w:rFonts w:asciiTheme="minorHAnsi" w:eastAsia="Times New Roman" w:hAnsiTheme="minorHAnsi"/>
          <w:sz w:val="20"/>
          <w:szCs w:val="20"/>
        </w:rPr>
      </w:pPr>
      <w:r w:rsidRPr="0027650C">
        <w:drawing>
          <wp:inline distT="0" distB="0" distL="0" distR="0">
            <wp:extent cx="4922520" cy="659130"/>
            <wp:effectExtent l="0" t="0" r="0" b="762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22520" cy="659130"/>
                    </a:xfrm>
                    <a:prstGeom prst="rect">
                      <a:avLst/>
                    </a:prstGeom>
                    <a:noFill/>
                    <a:ln>
                      <a:noFill/>
                    </a:ln>
                  </pic:spPr>
                </pic:pic>
              </a:graphicData>
            </a:graphic>
          </wp:inline>
        </w:drawing>
      </w:r>
    </w:p>
    <w:p w:rsidR="001A470B" w:rsidRDefault="001A470B" w:rsidP="001A470B">
      <w:pPr>
        <w:jc w:val="both"/>
        <w:rPr>
          <w:rFonts w:asciiTheme="minorHAnsi" w:eastAsia="Times New Roman" w:hAnsiTheme="minorHAnsi"/>
          <w:sz w:val="20"/>
          <w:szCs w:val="20"/>
        </w:rPr>
      </w:pPr>
    </w:p>
    <w:p w:rsidR="00E12298" w:rsidRPr="00FD1B4D" w:rsidRDefault="00E12298" w:rsidP="001A470B">
      <w:pPr>
        <w:jc w:val="both"/>
        <w:rPr>
          <w:rFonts w:asciiTheme="minorHAnsi" w:eastAsia="Times New Roman" w:hAnsiTheme="minorHAnsi"/>
          <w:sz w:val="20"/>
          <w:szCs w:val="20"/>
        </w:rPr>
      </w:pPr>
      <w:r w:rsidRPr="00FD1B4D">
        <w:rPr>
          <w:rFonts w:asciiTheme="minorHAnsi" w:eastAsia="Times New Roman" w:hAnsiTheme="minorHAnsi"/>
          <w:sz w:val="20"/>
          <w:szCs w:val="20"/>
        </w:rPr>
        <w:t>When this note matures on February 14, the borrower must recognize 45 days o</w:t>
      </w:r>
      <w:r w:rsidR="0027650C">
        <w:rPr>
          <w:rFonts w:asciiTheme="minorHAnsi" w:eastAsia="Times New Roman" w:hAnsiTheme="minorHAnsi"/>
          <w:sz w:val="20"/>
          <w:szCs w:val="20"/>
        </w:rPr>
        <w:t>f interest expense for year 2017</w:t>
      </w:r>
      <w:r w:rsidRPr="00FD1B4D">
        <w:rPr>
          <w:rFonts w:asciiTheme="minorHAnsi" w:eastAsia="Times New Roman" w:hAnsiTheme="minorHAnsi"/>
          <w:sz w:val="20"/>
          <w:szCs w:val="20"/>
        </w:rPr>
        <w:t xml:space="preserve"> an</w:t>
      </w:r>
      <w:r w:rsidR="0027650C">
        <w:rPr>
          <w:rFonts w:asciiTheme="minorHAnsi" w:eastAsia="Times New Roman" w:hAnsiTheme="minorHAnsi"/>
          <w:sz w:val="20"/>
          <w:szCs w:val="20"/>
        </w:rPr>
        <w:t xml:space="preserve">d remove the balances of the liability accounts.  Same dynamic applies for lender. </w:t>
      </w:r>
    </w:p>
    <w:p w:rsidR="00E12298" w:rsidRPr="00FD1B4D" w:rsidRDefault="0027650C" w:rsidP="00FD1B4D">
      <w:pPr>
        <w:spacing w:after="0" w:line="240" w:lineRule="auto"/>
        <w:jc w:val="both"/>
        <w:rPr>
          <w:rFonts w:asciiTheme="minorHAnsi" w:eastAsia="Times New Roman" w:hAnsiTheme="minorHAnsi"/>
          <w:sz w:val="20"/>
          <w:szCs w:val="20"/>
        </w:rPr>
      </w:pPr>
      <w:r w:rsidRPr="0027650C">
        <w:drawing>
          <wp:inline distT="0" distB="0" distL="0" distR="0">
            <wp:extent cx="4922520" cy="97980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22520" cy="979805"/>
                    </a:xfrm>
                    <a:prstGeom prst="rect">
                      <a:avLst/>
                    </a:prstGeom>
                    <a:noFill/>
                    <a:ln>
                      <a:noFill/>
                    </a:ln>
                  </pic:spPr>
                </pic:pic>
              </a:graphicData>
            </a:graphic>
          </wp:inline>
        </w:drawing>
      </w:r>
    </w:p>
    <w:p w:rsidR="00FB412F" w:rsidRPr="00FD1B4D" w:rsidRDefault="00FB412F" w:rsidP="00FD1B4D">
      <w:pPr>
        <w:jc w:val="both"/>
        <w:rPr>
          <w:rStyle w:val="sectitle"/>
          <w:rFonts w:asciiTheme="minorHAnsi" w:hAnsiTheme="minorHAnsi"/>
          <w:sz w:val="20"/>
          <w:szCs w:val="20"/>
        </w:rPr>
      </w:pPr>
    </w:p>
    <w:p w:rsidR="001A470B" w:rsidRDefault="001A470B">
      <w:pPr>
        <w:rPr>
          <w:rStyle w:val="sectitle"/>
          <w:rFonts w:asciiTheme="minorHAnsi" w:hAnsiTheme="minorHAnsi"/>
          <w:b/>
          <w:sz w:val="20"/>
          <w:szCs w:val="20"/>
        </w:rPr>
      </w:pPr>
      <w:r>
        <w:rPr>
          <w:rStyle w:val="sectitle"/>
          <w:rFonts w:asciiTheme="minorHAnsi" w:hAnsiTheme="minorHAnsi"/>
          <w:b/>
          <w:sz w:val="20"/>
          <w:szCs w:val="20"/>
        </w:rPr>
        <w:br w:type="page"/>
      </w:r>
    </w:p>
    <w:p w:rsidR="00E77BB3" w:rsidRPr="00FD1B4D" w:rsidRDefault="00E77BB3" w:rsidP="00FD1B4D">
      <w:pPr>
        <w:spacing w:before="100" w:beforeAutospacing="1" w:after="100" w:afterAutospacing="1" w:line="240" w:lineRule="auto"/>
        <w:jc w:val="both"/>
        <w:rPr>
          <w:rFonts w:asciiTheme="minorHAnsi" w:hAnsiTheme="minorHAnsi"/>
          <w:b/>
          <w:sz w:val="20"/>
          <w:szCs w:val="20"/>
        </w:rPr>
      </w:pPr>
      <w:r w:rsidRPr="00FD1B4D">
        <w:rPr>
          <w:rStyle w:val="sectitle"/>
          <w:rFonts w:asciiTheme="minorHAnsi" w:hAnsiTheme="minorHAnsi"/>
          <w:b/>
          <w:sz w:val="20"/>
          <w:szCs w:val="20"/>
        </w:rPr>
        <w:lastRenderedPageBreak/>
        <w:t>Payroll Liabilities</w:t>
      </w:r>
      <w:r w:rsidRPr="00FD1B4D">
        <w:rPr>
          <w:rFonts w:asciiTheme="minorHAnsi" w:hAnsiTheme="minorHAnsi"/>
          <w:b/>
          <w:sz w:val="20"/>
          <w:szCs w:val="20"/>
        </w:rPr>
        <w:t xml:space="preserve"> </w:t>
      </w:r>
    </w:p>
    <w:p w:rsidR="00E10736" w:rsidRPr="00FD1B4D" w:rsidRDefault="00E77BB3" w:rsidP="00FD1B4D">
      <w:pPr>
        <w:pStyle w:val="NormalWeb"/>
        <w:jc w:val="both"/>
        <w:rPr>
          <w:rFonts w:asciiTheme="minorHAnsi" w:hAnsiTheme="minorHAnsi"/>
          <w:sz w:val="20"/>
          <w:szCs w:val="20"/>
        </w:rPr>
      </w:pPr>
      <w:r w:rsidRPr="00FD1B4D">
        <w:rPr>
          <w:rFonts w:asciiTheme="minorHAnsi" w:hAnsiTheme="minorHAnsi"/>
          <w:sz w:val="20"/>
          <w:szCs w:val="20"/>
        </w:rPr>
        <w:t xml:space="preserve">An employer incurs several expenses and liabilities from having employees. These expenses and liabilities are often large and arise from salaries and wages earned, from employee benefits, and from payroll taxes levied on the employer. </w:t>
      </w:r>
    </w:p>
    <w:p w:rsidR="00E10736" w:rsidRPr="00FD1B4D" w:rsidRDefault="00E77BB3" w:rsidP="00FD1B4D">
      <w:pPr>
        <w:pStyle w:val="NormalWeb"/>
        <w:jc w:val="both"/>
        <w:rPr>
          <w:rFonts w:asciiTheme="minorHAnsi" w:hAnsiTheme="minorHAnsi"/>
          <w:b/>
          <w:sz w:val="20"/>
          <w:szCs w:val="20"/>
        </w:rPr>
      </w:pPr>
      <w:r w:rsidRPr="00FD1B4D">
        <w:rPr>
          <w:rStyle w:val="black"/>
          <w:rFonts w:asciiTheme="minorHAnsi" w:hAnsiTheme="minorHAnsi"/>
          <w:b/>
          <w:sz w:val="20"/>
          <w:szCs w:val="20"/>
        </w:rPr>
        <w:t>Employee Payroll Deductions</w:t>
      </w:r>
      <w:r w:rsidRPr="00FD1B4D">
        <w:rPr>
          <w:rFonts w:asciiTheme="minorHAnsi" w:hAnsiTheme="minorHAnsi"/>
          <w:b/>
          <w:sz w:val="20"/>
          <w:szCs w:val="20"/>
        </w:rPr>
        <w:t xml:space="preserve"> </w:t>
      </w:r>
    </w:p>
    <w:p w:rsidR="00E10736" w:rsidRPr="00FD1B4D" w:rsidRDefault="00E77BB3" w:rsidP="00FD1B4D">
      <w:pPr>
        <w:pStyle w:val="NormalWeb"/>
        <w:jc w:val="both"/>
        <w:rPr>
          <w:rFonts w:asciiTheme="minorHAnsi" w:hAnsiTheme="minorHAnsi"/>
          <w:sz w:val="20"/>
          <w:szCs w:val="20"/>
        </w:rPr>
      </w:pPr>
      <w:r w:rsidRPr="00FD1B4D">
        <w:rPr>
          <w:rFonts w:asciiTheme="minorHAnsi" w:hAnsiTheme="minorHAnsi"/>
          <w:b/>
          <w:bCs/>
          <w:sz w:val="20"/>
          <w:szCs w:val="20"/>
        </w:rPr>
        <w:t>Gross pay</w:t>
      </w:r>
      <w:r w:rsidRPr="00FD1B4D">
        <w:rPr>
          <w:rFonts w:asciiTheme="minorHAnsi" w:hAnsiTheme="minorHAnsi"/>
          <w:sz w:val="20"/>
          <w:szCs w:val="20"/>
        </w:rPr>
        <w:t xml:space="preserve"> is the total compensation an employee earns including wages, salaries, commissions, bonuses, and any compensation earned before deductions such as taxes. (</w:t>
      </w:r>
      <w:r w:rsidRPr="00FD1B4D">
        <w:rPr>
          <w:rFonts w:asciiTheme="minorHAnsi" w:hAnsiTheme="minorHAnsi"/>
          <w:i/>
          <w:iCs/>
          <w:sz w:val="20"/>
          <w:szCs w:val="20"/>
        </w:rPr>
        <w:t>Wages</w:t>
      </w:r>
      <w:r w:rsidRPr="00FD1B4D">
        <w:rPr>
          <w:rFonts w:asciiTheme="minorHAnsi" w:hAnsiTheme="minorHAnsi"/>
          <w:sz w:val="20"/>
          <w:szCs w:val="20"/>
        </w:rPr>
        <w:t xml:space="preserve"> usually refer to payments to employees at an hourly rate. </w:t>
      </w:r>
      <w:r w:rsidRPr="00FD1B4D">
        <w:rPr>
          <w:rFonts w:asciiTheme="minorHAnsi" w:hAnsiTheme="minorHAnsi"/>
          <w:i/>
          <w:iCs/>
          <w:sz w:val="20"/>
          <w:szCs w:val="20"/>
        </w:rPr>
        <w:t>Salaries</w:t>
      </w:r>
      <w:r w:rsidRPr="00FD1B4D">
        <w:rPr>
          <w:rFonts w:asciiTheme="minorHAnsi" w:hAnsiTheme="minorHAnsi"/>
          <w:sz w:val="20"/>
          <w:szCs w:val="20"/>
        </w:rPr>
        <w:t xml:space="preserve"> usually refer to payments to employees at a monthly or yearly rate.) </w:t>
      </w:r>
    </w:p>
    <w:p w:rsidR="00E10736" w:rsidRPr="00FD1B4D" w:rsidRDefault="00E77BB3" w:rsidP="00FD1B4D">
      <w:pPr>
        <w:pStyle w:val="NormalWeb"/>
        <w:jc w:val="both"/>
        <w:rPr>
          <w:rFonts w:asciiTheme="minorHAnsi" w:hAnsiTheme="minorHAnsi"/>
          <w:sz w:val="20"/>
          <w:szCs w:val="20"/>
        </w:rPr>
      </w:pPr>
      <w:r w:rsidRPr="00FD1B4D">
        <w:rPr>
          <w:rFonts w:asciiTheme="minorHAnsi" w:hAnsiTheme="minorHAnsi"/>
          <w:b/>
          <w:bCs/>
          <w:sz w:val="20"/>
          <w:szCs w:val="20"/>
        </w:rPr>
        <w:t>Net pay</w:t>
      </w:r>
      <w:r w:rsidRPr="00FD1B4D">
        <w:rPr>
          <w:rFonts w:asciiTheme="minorHAnsi" w:hAnsiTheme="minorHAnsi"/>
          <w:sz w:val="20"/>
          <w:szCs w:val="20"/>
        </w:rPr>
        <w:t xml:space="preserve">, also called </w:t>
      </w:r>
      <w:r w:rsidRPr="00FD1B4D">
        <w:rPr>
          <w:rFonts w:asciiTheme="minorHAnsi" w:hAnsiTheme="minorHAnsi"/>
          <w:i/>
          <w:iCs/>
          <w:sz w:val="20"/>
          <w:szCs w:val="20"/>
        </w:rPr>
        <w:t>take-home pay</w:t>
      </w:r>
      <w:r w:rsidRPr="00FD1B4D">
        <w:rPr>
          <w:rFonts w:asciiTheme="minorHAnsi" w:hAnsiTheme="minorHAnsi"/>
          <w:sz w:val="20"/>
          <w:szCs w:val="20"/>
        </w:rPr>
        <w:t xml:space="preserve">, is gross pay less all deductions. </w:t>
      </w:r>
      <w:r w:rsidRPr="00FD1B4D">
        <w:rPr>
          <w:rFonts w:asciiTheme="minorHAnsi" w:hAnsiTheme="minorHAnsi"/>
          <w:b/>
          <w:bCs/>
          <w:sz w:val="20"/>
          <w:szCs w:val="20"/>
        </w:rPr>
        <w:t>Payroll deductions</w:t>
      </w:r>
      <w:r w:rsidRPr="00FD1B4D">
        <w:rPr>
          <w:rFonts w:asciiTheme="minorHAnsi" w:hAnsiTheme="minorHAnsi"/>
          <w:sz w:val="20"/>
          <w:szCs w:val="20"/>
        </w:rPr>
        <w:t xml:space="preserve">, commonly called </w:t>
      </w:r>
      <w:r w:rsidRPr="00FD1B4D">
        <w:rPr>
          <w:rFonts w:asciiTheme="minorHAnsi" w:hAnsiTheme="minorHAnsi"/>
          <w:i/>
          <w:iCs/>
          <w:sz w:val="20"/>
          <w:szCs w:val="20"/>
        </w:rPr>
        <w:t>withholdings</w:t>
      </w:r>
      <w:r w:rsidRPr="00FD1B4D">
        <w:rPr>
          <w:rFonts w:asciiTheme="minorHAnsi" w:hAnsiTheme="minorHAnsi"/>
          <w:sz w:val="20"/>
          <w:szCs w:val="20"/>
        </w:rPr>
        <w:t xml:space="preserve">, are amounts withheld from an employee's gross pay, either required or voluntary. </w:t>
      </w:r>
    </w:p>
    <w:p w:rsidR="00E10736" w:rsidRPr="00FD1B4D" w:rsidRDefault="00E77BB3" w:rsidP="00FD1B4D">
      <w:pPr>
        <w:pStyle w:val="NormalWeb"/>
        <w:jc w:val="both"/>
        <w:rPr>
          <w:rFonts w:asciiTheme="minorHAnsi" w:hAnsiTheme="minorHAnsi"/>
          <w:sz w:val="20"/>
          <w:szCs w:val="20"/>
        </w:rPr>
      </w:pPr>
      <w:r w:rsidRPr="00FD1B4D">
        <w:rPr>
          <w:rFonts w:asciiTheme="minorHAnsi" w:hAnsiTheme="minorHAnsi"/>
          <w:sz w:val="20"/>
          <w:szCs w:val="20"/>
        </w:rPr>
        <w:t xml:space="preserve">Required deductions result from laws and include income taxes and Social Security taxes. </w:t>
      </w:r>
    </w:p>
    <w:p w:rsidR="00E10736" w:rsidRPr="00FD1B4D" w:rsidRDefault="00E77BB3" w:rsidP="00FD1B4D">
      <w:pPr>
        <w:pStyle w:val="NormalWeb"/>
        <w:jc w:val="both"/>
        <w:rPr>
          <w:rFonts w:asciiTheme="minorHAnsi" w:hAnsiTheme="minorHAnsi"/>
          <w:sz w:val="20"/>
          <w:szCs w:val="20"/>
        </w:rPr>
      </w:pPr>
      <w:r w:rsidRPr="00FD1B4D">
        <w:rPr>
          <w:rFonts w:asciiTheme="minorHAnsi" w:hAnsiTheme="minorHAnsi"/>
          <w:sz w:val="20"/>
          <w:szCs w:val="20"/>
        </w:rPr>
        <w:t xml:space="preserve">Voluntary deductions, at an employee's option, include pension and health contributions, health and life insurance premiums, union dues, and charitable giving. </w:t>
      </w:r>
    </w:p>
    <w:p w:rsidR="00E77BB3" w:rsidRPr="00FD1B4D" w:rsidRDefault="00E77BB3" w:rsidP="00FD1B4D">
      <w:pPr>
        <w:pStyle w:val="NormalWeb"/>
        <w:jc w:val="both"/>
        <w:rPr>
          <w:rFonts w:asciiTheme="minorHAnsi" w:hAnsiTheme="minorHAnsi"/>
          <w:sz w:val="20"/>
          <w:szCs w:val="20"/>
        </w:rPr>
      </w:pPr>
      <w:r w:rsidRPr="00FD1B4D">
        <w:rPr>
          <w:rFonts w:asciiTheme="minorHAnsi" w:hAnsiTheme="minorHAnsi"/>
          <w:sz w:val="20"/>
          <w:szCs w:val="20"/>
        </w:rPr>
        <w:t xml:space="preserve">The employer withholds payroll deductions from employees' pay and is obligated to transmit this money to the designated organization. The employer records payroll deductions as current liabilities until these amounts are transmitted. </w:t>
      </w:r>
    </w:p>
    <w:p w:rsidR="00E77BB3" w:rsidRPr="00FD1B4D" w:rsidRDefault="00E77BB3" w:rsidP="00FD1B4D">
      <w:pPr>
        <w:jc w:val="both"/>
        <w:rPr>
          <w:rFonts w:asciiTheme="minorHAnsi" w:hAnsiTheme="minorHAnsi"/>
          <w:sz w:val="20"/>
          <w:szCs w:val="20"/>
        </w:rPr>
      </w:pPr>
      <w:r w:rsidRPr="00FD1B4D">
        <w:rPr>
          <w:rFonts w:asciiTheme="minorHAnsi" w:hAnsiTheme="minorHAnsi"/>
          <w:noProof/>
          <w:sz w:val="20"/>
          <w:szCs w:val="20"/>
        </w:rPr>
        <w:drawing>
          <wp:inline distT="0" distB="0" distL="0" distR="0" wp14:anchorId="14E1AEBC" wp14:editId="30F930E6">
            <wp:extent cx="3810000" cy="2118360"/>
            <wp:effectExtent l="0" t="0" r="0" b="0"/>
            <wp:docPr id="32" name="Picture 32" descr="http://textflow.mheducation.com/figures/007742994X/wiL25389_09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42994X_001_019398c" descr="http://textflow.mheducation.com/figures/007742994X/wiL25389_0904.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0" cy="2118360"/>
                    </a:xfrm>
                    <a:prstGeom prst="rect">
                      <a:avLst/>
                    </a:prstGeom>
                    <a:noFill/>
                    <a:ln>
                      <a:noFill/>
                    </a:ln>
                  </pic:spPr>
                </pic:pic>
              </a:graphicData>
            </a:graphic>
          </wp:inline>
        </w:drawing>
      </w:r>
    </w:p>
    <w:p w:rsidR="00E10736" w:rsidRPr="00FD1B4D" w:rsidRDefault="00E10736" w:rsidP="00FD1B4D">
      <w:pPr>
        <w:jc w:val="both"/>
        <w:rPr>
          <w:rStyle w:val="Title1"/>
          <w:rFonts w:asciiTheme="minorHAnsi" w:hAnsiTheme="minorHAnsi"/>
          <w:b/>
          <w:sz w:val="20"/>
          <w:szCs w:val="20"/>
        </w:rPr>
      </w:pPr>
      <w:r w:rsidRPr="00FD1B4D">
        <w:rPr>
          <w:rStyle w:val="Title1"/>
          <w:rFonts w:asciiTheme="minorHAnsi" w:hAnsiTheme="minorHAnsi"/>
          <w:b/>
          <w:sz w:val="20"/>
          <w:szCs w:val="20"/>
        </w:rPr>
        <w:br w:type="page"/>
      </w:r>
    </w:p>
    <w:p w:rsidR="00E77BB3" w:rsidRPr="00FD1B4D" w:rsidRDefault="00E77BB3" w:rsidP="00FD1B4D">
      <w:pPr>
        <w:jc w:val="both"/>
        <w:rPr>
          <w:rFonts w:asciiTheme="minorHAnsi" w:hAnsiTheme="minorHAnsi"/>
          <w:b/>
          <w:sz w:val="20"/>
          <w:szCs w:val="20"/>
        </w:rPr>
      </w:pPr>
      <w:r w:rsidRPr="00FD1B4D">
        <w:rPr>
          <w:rStyle w:val="Title1"/>
          <w:rFonts w:asciiTheme="minorHAnsi" w:hAnsiTheme="minorHAnsi"/>
          <w:b/>
          <w:sz w:val="20"/>
          <w:szCs w:val="20"/>
        </w:rPr>
        <w:lastRenderedPageBreak/>
        <w:t>Payroll Deductions</w:t>
      </w:r>
    </w:p>
    <w:p w:rsidR="00E10736" w:rsidRPr="00FD1B4D" w:rsidRDefault="00E77BB3" w:rsidP="00FD1B4D">
      <w:pPr>
        <w:pStyle w:val="NormalWeb"/>
        <w:jc w:val="both"/>
        <w:rPr>
          <w:rFonts w:asciiTheme="minorHAnsi" w:hAnsiTheme="minorHAnsi"/>
          <w:b/>
          <w:sz w:val="20"/>
          <w:szCs w:val="20"/>
        </w:rPr>
      </w:pPr>
      <w:proofErr w:type="gramStart"/>
      <w:r w:rsidRPr="00FD1B4D">
        <w:rPr>
          <w:rStyle w:val="black2"/>
          <w:rFonts w:asciiTheme="minorHAnsi" w:hAnsiTheme="minorHAnsi"/>
          <w:b/>
          <w:sz w:val="20"/>
          <w:szCs w:val="20"/>
        </w:rPr>
        <w:t>Employee FICA taxes.</w:t>
      </w:r>
      <w:proofErr w:type="gramEnd"/>
      <w:r w:rsidRPr="00FD1B4D">
        <w:rPr>
          <w:rFonts w:asciiTheme="minorHAnsi" w:hAnsiTheme="minorHAnsi"/>
          <w:b/>
          <w:sz w:val="20"/>
          <w:szCs w:val="20"/>
        </w:rPr>
        <w:t xml:space="preserve"> </w:t>
      </w:r>
    </w:p>
    <w:p w:rsidR="00E10736" w:rsidRPr="00FD1B4D" w:rsidRDefault="00E77BB3" w:rsidP="00FD1B4D">
      <w:pPr>
        <w:pStyle w:val="NormalWeb"/>
        <w:jc w:val="both"/>
        <w:rPr>
          <w:rFonts w:asciiTheme="minorHAnsi" w:hAnsiTheme="minorHAnsi"/>
          <w:sz w:val="20"/>
          <w:szCs w:val="20"/>
        </w:rPr>
      </w:pPr>
      <w:r w:rsidRPr="00FD1B4D">
        <w:rPr>
          <w:rFonts w:asciiTheme="minorHAnsi" w:hAnsiTheme="minorHAnsi"/>
          <w:sz w:val="20"/>
          <w:szCs w:val="20"/>
        </w:rPr>
        <w:t xml:space="preserve">The federal Social Security system provides retirement, disability, survivorship, and medical benefits to qualified workers. Laws </w:t>
      </w:r>
      <w:r w:rsidRPr="00FD1B4D">
        <w:rPr>
          <w:rFonts w:asciiTheme="minorHAnsi" w:hAnsiTheme="minorHAnsi"/>
          <w:i/>
          <w:iCs/>
          <w:sz w:val="20"/>
          <w:szCs w:val="20"/>
        </w:rPr>
        <w:t>require</w:t>
      </w:r>
      <w:r w:rsidRPr="00FD1B4D">
        <w:rPr>
          <w:rFonts w:asciiTheme="minorHAnsi" w:hAnsiTheme="minorHAnsi"/>
          <w:sz w:val="20"/>
          <w:szCs w:val="20"/>
        </w:rPr>
        <w:t xml:space="preserve"> employers to withhold </w:t>
      </w:r>
      <w:r w:rsidRPr="00FD1B4D">
        <w:rPr>
          <w:rFonts w:asciiTheme="minorHAnsi" w:hAnsiTheme="minorHAnsi"/>
          <w:b/>
          <w:bCs/>
          <w:sz w:val="20"/>
          <w:szCs w:val="20"/>
        </w:rPr>
        <w:t>Federal Insurance Contributions Act (FICA) taxes</w:t>
      </w:r>
      <w:r w:rsidRPr="00FD1B4D">
        <w:rPr>
          <w:rFonts w:asciiTheme="minorHAnsi" w:hAnsiTheme="minorHAnsi"/>
          <w:sz w:val="20"/>
          <w:szCs w:val="20"/>
        </w:rPr>
        <w:t xml:space="preserve"> from employees' pay to cover costs of the system. </w:t>
      </w:r>
    </w:p>
    <w:p w:rsidR="00E10736" w:rsidRPr="00FD1B4D" w:rsidRDefault="00E77BB3" w:rsidP="00FD1B4D">
      <w:pPr>
        <w:pStyle w:val="NormalWeb"/>
        <w:jc w:val="both"/>
        <w:rPr>
          <w:rFonts w:asciiTheme="minorHAnsi" w:hAnsiTheme="minorHAnsi"/>
          <w:sz w:val="20"/>
          <w:szCs w:val="20"/>
        </w:rPr>
      </w:pPr>
      <w:r w:rsidRPr="00FD1B4D">
        <w:rPr>
          <w:rFonts w:asciiTheme="minorHAnsi" w:hAnsiTheme="minorHAnsi"/>
          <w:sz w:val="20"/>
          <w:szCs w:val="20"/>
        </w:rPr>
        <w:t xml:space="preserve">Employers usually separate FICA taxes into two groups: (1) retirement, disability, and survivorship and (2) medical. </w:t>
      </w:r>
    </w:p>
    <w:p w:rsidR="00E10736" w:rsidRPr="00FD1B4D" w:rsidRDefault="00E77BB3" w:rsidP="00FD1B4D">
      <w:pPr>
        <w:pStyle w:val="NormalWeb"/>
        <w:jc w:val="both"/>
        <w:rPr>
          <w:rFonts w:asciiTheme="minorHAnsi" w:hAnsiTheme="minorHAnsi"/>
          <w:sz w:val="20"/>
          <w:szCs w:val="20"/>
        </w:rPr>
      </w:pPr>
      <w:r w:rsidRPr="00FD1B4D">
        <w:rPr>
          <w:rFonts w:asciiTheme="minorHAnsi" w:hAnsiTheme="minorHAnsi"/>
          <w:sz w:val="20"/>
          <w:szCs w:val="20"/>
        </w:rPr>
        <w:t xml:space="preserve">For the first group, the Social Security system provides monthly cash payments to qualified retired workers for the rest of their lives. These payments are often called </w:t>
      </w:r>
      <w:r w:rsidRPr="00FD1B4D">
        <w:rPr>
          <w:rFonts w:asciiTheme="minorHAnsi" w:hAnsiTheme="minorHAnsi"/>
          <w:i/>
          <w:iCs/>
          <w:sz w:val="20"/>
          <w:szCs w:val="20"/>
        </w:rPr>
        <w:t>Social Security benefits.</w:t>
      </w:r>
      <w:r w:rsidRPr="00FD1B4D">
        <w:rPr>
          <w:rFonts w:asciiTheme="minorHAnsi" w:hAnsiTheme="minorHAnsi"/>
          <w:sz w:val="20"/>
          <w:szCs w:val="20"/>
        </w:rPr>
        <w:t xml:space="preserve"> Taxes related to this group are often called </w:t>
      </w:r>
      <w:r w:rsidRPr="00FD1B4D">
        <w:rPr>
          <w:rFonts w:asciiTheme="minorHAnsi" w:hAnsiTheme="minorHAnsi"/>
          <w:i/>
          <w:iCs/>
          <w:sz w:val="20"/>
          <w:szCs w:val="20"/>
        </w:rPr>
        <w:t>Social Security taxes.</w:t>
      </w:r>
      <w:r w:rsidRPr="00FD1B4D">
        <w:rPr>
          <w:rFonts w:asciiTheme="minorHAnsi" w:hAnsiTheme="minorHAnsi"/>
          <w:sz w:val="20"/>
          <w:szCs w:val="20"/>
        </w:rPr>
        <w:t xml:space="preserve"> </w:t>
      </w:r>
    </w:p>
    <w:p w:rsidR="00E77BB3" w:rsidRPr="00FD1B4D" w:rsidRDefault="00E77BB3" w:rsidP="00FD1B4D">
      <w:pPr>
        <w:pStyle w:val="NormalWeb"/>
        <w:jc w:val="both"/>
        <w:rPr>
          <w:rFonts w:asciiTheme="minorHAnsi" w:hAnsiTheme="minorHAnsi"/>
          <w:sz w:val="20"/>
          <w:szCs w:val="20"/>
        </w:rPr>
      </w:pPr>
      <w:r w:rsidRPr="00FD1B4D">
        <w:rPr>
          <w:rFonts w:asciiTheme="minorHAnsi" w:hAnsiTheme="minorHAnsi"/>
          <w:sz w:val="20"/>
          <w:szCs w:val="20"/>
        </w:rPr>
        <w:t xml:space="preserve">For the second group, the system provides monthly payments to deceased workers' surviving families and to disabled workers who qualify for assistance. These payments are commonly called </w:t>
      </w:r>
      <w:r w:rsidRPr="00FD1B4D">
        <w:rPr>
          <w:rFonts w:asciiTheme="minorHAnsi" w:hAnsiTheme="minorHAnsi"/>
          <w:i/>
          <w:iCs/>
          <w:sz w:val="20"/>
          <w:szCs w:val="20"/>
        </w:rPr>
        <w:t>Medicare benefits;</w:t>
      </w:r>
      <w:r w:rsidRPr="00FD1B4D">
        <w:rPr>
          <w:rFonts w:asciiTheme="minorHAnsi" w:hAnsiTheme="minorHAnsi"/>
          <w:sz w:val="20"/>
          <w:szCs w:val="20"/>
        </w:rPr>
        <w:t xml:space="preserve"> like those in the first group, they are paid with </w:t>
      </w:r>
      <w:r w:rsidRPr="00FD1B4D">
        <w:rPr>
          <w:rFonts w:asciiTheme="minorHAnsi" w:hAnsiTheme="minorHAnsi"/>
          <w:i/>
          <w:iCs/>
          <w:sz w:val="20"/>
          <w:szCs w:val="20"/>
        </w:rPr>
        <w:t>Medicare taxes</w:t>
      </w:r>
      <w:r w:rsidRPr="00FD1B4D">
        <w:rPr>
          <w:rFonts w:asciiTheme="minorHAnsi" w:hAnsiTheme="minorHAnsi"/>
          <w:sz w:val="20"/>
          <w:szCs w:val="20"/>
        </w:rPr>
        <w:t xml:space="preserve"> (part of FICA taxes).</w:t>
      </w:r>
    </w:p>
    <w:p w:rsidR="00770844" w:rsidRDefault="00E77BB3" w:rsidP="00FD1B4D">
      <w:pPr>
        <w:pStyle w:val="NormalWeb"/>
        <w:jc w:val="both"/>
        <w:rPr>
          <w:rFonts w:asciiTheme="minorHAnsi" w:hAnsiTheme="minorHAnsi"/>
          <w:sz w:val="20"/>
          <w:szCs w:val="20"/>
        </w:rPr>
      </w:pPr>
      <w:r w:rsidRPr="00FD1B4D">
        <w:rPr>
          <w:rFonts w:asciiTheme="minorHAnsi" w:hAnsiTheme="minorHAnsi"/>
          <w:sz w:val="20"/>
          <w:szCs w:val="20"/>
        </w:rPr>
        <w:t xml:space="preserve">Law requires employers to withhold FICA taxes from each employee's salary or wages on each payday. The taxes for Social Security and Medicare are computed separately. </w:t>
      </w:r>
    </w:p>
    <w:p w:rsidR="00770844" w:rsidRDefault="00770844" w:rsidP="00FD1B4D">
      <w:pPr>
        <w:pStyle w:val="NormalWeb"/>
        <w:jc w:val="both"/>
        <w:rPr>
          <w:rFonts w:asciiTheme="minorHAnsi" w:hAnsiTheme="minorHAnsi"/>
          <w:color w:val="333333"/>
          <w:sz w:val="20"/>
          <w:szCs w:val="20"/>
        </w:rPr>
      </w:pPr>
      <w:r w:rsidRPr="00770844">
        <w:rPr>
          <w:rFonts w:asciiTheme="minorHAnsi" w:hAnsiTheme="minorHAnsi"/>
          <w:color w:val="333333"/>
          <w:sz w:val="20"/>
          <w:szCs w:val="20"/>
        </w:rPr>
        <w:t xml:space="preserve">For example, for 2013, the amount scheduled to be withheld from each employee's pay for Social Security tax is 6.2% of the first $113,700 the employee earns in the calendar year. </w:t>
      </w:r>
    </w:p>
    <w:p w:rsidR="00E10736" w:rsidRPr="00FD1B4D" w:rsidRDefault="00770844" w:rsidP="00FD1B4D">
      <w:pPr>
        <w:pStyle w:val="NormalWeb"/>
        <w:jc w:val="both"/>
        <w:rPr>
          <w:rFonts w:asciiTheme="minorHAnsi" w:hAnsiTheme="minorHAnsi"/>
          <w:sz w:val="20"/>
          <w:szCs w:val="20"/>
        </w:rPr>
      </w:pPr>
      <w:r w:rsidRPr="00770844">
        <w:rPr>
          <w:rFonts w:asciiTheme="minorHAnsi" w:hAnsiTheme="minorHAnsi"/>
          <w:color w:val="333333"/>
          <w:sz w:val="20"/>
          <w:szCs w:val="20"/>
        </w:rPr>
        <w:t>The Medicare tax is 1.45% of</w:t>
      </w:r>
      <w:r w:rsidRPr="00770844">
        <w:rPr>
          <w:rStyle w:val="apple-converted-space"/>
          <w:rFonts w:asciiTheme="minorHAnsi" w:hAnsiTheme="minorHAnsi"/>
          <w:color w:val="333333"/>
          <w:sz w:val="20"/>
          <w:szCs w:val="20"/>
        </w:rPr>
        <w:t> </w:t>
      </w:r>
      <w:r w:rsidRPr="00770844">
        <w:rPr>
          <w:rStyle w:val="Emphasis"/>
          <w:rFonts w:asciiTheme="minorHAnsi" w:hAnsiTheme="minorHAnsi"/>
          <w:color w:val="333333"/>
          <w:sz w:val="20"/>
          <w:szCs w:val="20"/>
        </w:rPr>
        <w:t>all</w:t>
      </w:r>
      <w:r w:rsidRPr="00770844">
        <w:rPr>
          <w:rStyle w:val="apple-converted-space"/>
          <w:rFonts w:asciiTheme="minorHAnsi" w:hAnsiTheme="minorHAnsi"/>
          <w:color w:val="333333"/>
          <w:sz w:val="20"/>
          <w:szCs w:val="20"/>
        </w:rPr>
        <w:t> </w:t>
      </w:r>
      <w:r w:rsidRPr="00770844">
        <w:rPr>
          <w:rFonts w:asciiTheme="minorHAnsi" w:hAnsiTheme="minorHAnsi"/>
          <w:color w:val="333333"/>
          <w:sz w:val="20"/>
          <w:szCs w:val="20"/>
        </w:rPr>
        <w:t>amounts the employee earns; there is no maximum limit to Medicare tax. Beginning in 2013, a 0.9% Additional Medicare Tax is imposed on the employee only for pay in excess of $200,000 (this additional tax is</w:t>
      </w:r>
      <w:r w:rsidRPr="00770844">
        <w:rPr>
          <w:rStyle w:val="apple-converted-space"/>
          <w:rFonts w:asciiTheme="minorHAnsi" w:hAnsiTheme="minorHAnsi"/>
          <w:color w:val="333333"/>
          <w:sz w:val="20"/>
          <w:szCs w:val="20"/>
        </w:rPr>
        <w:t> </w:t>
      </w:r>
      <w:r w:rsidRPr="00770844">
        <w:rPr>
          <w:rStyle w:val="Emphasis"/>
          <w:rFonts w:asciiTheme="minorHAnsi" w:hAnsiTheme="minorHAnsi"/>
          <w:color w:val="333333"/>
          <w:sz w:val="20"/>
          <w:szCs w:val="20"/>
        </w:rPr>
        <w:t>not</w:t>
      </w:r>
      <w:r w:rsidRPr="00770844">
        <w:rPr>
          <w:rStyle w:val="apple-converted-space"/>
          <w:rFonts w:asciiTheme="minorHAnsi" w:hAnsiTheme="minorHAnsi"/>
          <w:color w:val="333333"/>
          <w:sz w:val="20"/>
          <w:szCs w:val="20"/>
        </w:rPr>
        <w:t> </w:t>
      </w:r>
      <w:r w:rsidRPr="00770844">
        <w:rPr>
          <w:rFonts w:asciiTheme="minorHAnsi" w:hAnsiTheme="minorHAnsi"/>
          <w:color w:val="333333"/>
          <w:sz w:val="20"/>
          <w:szCs w:val="20"/>
        </w:rPr>
        <w:t>imposed on the employer).</w:t>
      </w:r>
    </w:p>
    <w:p w:rsidR="00E77BB3" w:rsidRPr="00FD1B4D" w:rsidRDefault="00E77BB3" w:rsidP="00FD1B4D">
      <w:pPr>
        <w:pStyle w:val="NormalWeb"/>
        <w:jc w:val="both"/>
        <w:rPr>
          <w:rFonts w:asciiTheme="minorHAnsi" w:hAnsiTheme="minorHAnsi"/>
          <w:sz w:val="20"/>
          <w:szCs w:val="20"/>
        </w:rPr>
      </w:pPr>
      <w:r w:rsidRPr="00FD1B4D">
        <w:rPr>
          <w:rFonts w:asciiTheme="minorHAnsi" w:hAnsiTheme="minorHAnsi"/>
          <w:sz w:val="20"/>
          <w:szCs w:val="20"/>
        </w:rPr>
        <w:t xml:space="preserve">Employers must pay withheld taxes to the Internal Revenue Service (IRS) on specific filing dates during the year. Until all the taxes are sent to the IRS, they are included in employers' current liabilities. </w:t>
      </w:r>
    </w:p>
    <w:p w:rsidR="00E10736" w:rsidRPr="00FD1B4D" w:rsidRDefault="00E77BB3" w:rsidP="00FD1B4D">
      <w:pPr>
        <w:pStyle w:val="NormalWeb"/>
        <w:jc w:val="both"/>
        <w:rPr>
          <w:rFonts w:asciiTheme="minorHAnsi" w:hAnsiTheme="minorHAnsi"/>
          <w:b/>
          <w:sz w:val="20"/>
          <w:szCs w:val="20"/>
        </w:rPr>
      </w:pPr>
      <w:proofErr w:type="gramStart"/>
      <w:r w:rsidRPr="00FD1B4D">
        <w:rPr>
          <w:rStyle w:val="black2"/>
          <w:rFonts w:asciiTheme="minorHAnsi" w:hAnsiTheme="minorHAnsi"/>
          <w:b/>
          <w:sz w:val="20"/>
          <w:szCs w:val="20"/>
        </w:rPr>
        <w:t>Employee income tax.</w:t>
      </w:r>
      <w:proofErr w:type="gramEnd"/>
      <w:r w:rsidRPr="00FD1B4D">
        <w:rPr>
          <w:rFonts w:asciiTheme="minorHAnsi" w:hAnsiTheme="minorHAnsi"/>
          <w:b/>
          <w:sz w:val="20"/>
          <w:szCs w:val="20"/>
        </w:rPr>
        <w:t xml:space="preserve"> </w:t>
      </w:r>
    </w:p>
    <w:p w:rsidR="00E10736" w:rsidRPr="00FD1B4D" w:rsidRDefault="00E77BB3" w:rsidP="00FD1B4D">
      <w:pPr>
        <w:pStyle w:val="NormalWeb"/>
        <w:jc w:val="both"/>
        <w:rPr>
          <w:rFonts w:asciiTheme="minorHAnsi" w:hAnsiTheme="minorHAnsi"/>
          <w:sz w:val="20"/>
          <w:szCs w:val="20"/>
        </w:rPr>
      </w:pPr>
      <w:r w:rsidRPr="00FD1B4D">
        <w:rPr>
          <w:rFonts w:asciiTheme="minorHAnsi" w:hAnsiTheme="minorHAnsi"/>
          <w:sz w:val="20"/>
          <w:szCs w:val="20"/>
        </w:rPr>
        <w:t xml:space="preserve">Most employers are required to withhold federal income tax from each employee's paycheck. The amount withheld is computed using tables published by the IRS. The amount depends on the employee's annual earnings rate and the number of </w:t>
      </w:r>
      <w:r w:rsidRPr="00FD1B4D">
        <w:rPr>
          <w:rFonts w:asciiTheme="minorHAnsi" w:hAnsiTheme="minorHAnsi"/>
          <w:i/>
          <w:iCs/>
          <w:sz w:val="20"/>
          <w:szCs w:val="20"/>
        </w:rPr>
        <w:t>withholding allowances</w:t>
      </w:r>
      <w:r w:rsidRPr="00FD1B4D">
        <w:rPr>
          <w:rFonts w:asciiTheme="minorHAnsi" w:hAnsiTheme="minorHAnsi"/>
          <w:sz w:val="20"/>
          <w:szCs w:val="20"/>
        </w:rPr>
        <w:t xml:space="preserve"> the employee claims. Allowances reduce the amount of taxes one owes the government. Most states and many local governments require employers to withhold income taxes from employees' pay and to remit them promptly to the proper government agency. </w:t>
      </w:r>
    </w:p>
    <w:p w:rsidR="00E77BB3" w:rsidRPr="00FD1B4D" w:rsidRDefault="00E77BB3" w:rsidP="00FD1B4D">
      <w:pPr>
        <w:pStyle w:val="NormalWeb"/>
        <w:jc w:val="both"/>
        <w:rPr>
          <w:rFonts w:asciiTheme="minorHAnsi" w:hAnsiTheme="minorHAnsi"/>
          <w:sz w:val="20"/>
          <w:szCs w:val="20"/>
        </w:rPr>
      </w:pPr>
      <w:r w:rsidRPr="00FD1B4D">
        <w:rPr>
          <w:rFonts w:asciiTheme="minorHAnsi" w:hAnsiTheme="minorHAnsi"/>
          <w:sz w:val="20"/>
          <w:szCs w:val="20"/>
        </w:rPr>
        <w:t>Until they are paid, withholdings are reported as a current liability on the employer's balance sheet.</w:t>
      </w:r>
    </w:p>
    <w:p w:rsidR="00E10736" w:rsidRPr="00FD1B4D" w:rsidRDefault="00E10736" w:rsidP="00FD1B4D">
      <w:pPr>
        <w:jc w:val="both"/>
        <w:rPr>
          <w:rFonts w:asciiTheme="minorHAnsi" w:eastAsia="Times New Roman" w:hAnsiTheme="minorHAnsi"/>
          <w:b/>
          <w:bCs/>
          <w:sz w:val="20"/>
          <w:szCs w:val="20"/>
        </w:rPr>
      </w:pPr>
      <w:r w:rsidRPr="00FD1B4D">
        <w:rPr>
          <w:rFonts w:asciiTheme="minorHAnsi" w:hAnsiTheme="minorHAnsi"/>
          <w:b/>
          <w:bCs/>
          <w:sz w:val="20"/>
          <w:szCs w:val="20"/>
        </w:rPr>
        <w:br w:type="page"/>
      </w:r>
    </w:p>
    <w:p w:rsidR="00E10736" w:rsidRPr="00FD1B4D" w:rsidRDefault="00E77BB3" w:rsidP="00FD1B4D">
      <w:pPr>
        <w:pStyle w:val="NormalWeb"/>
        <w:jc w:val="both"/>
        <w:rPr>
          <w:rFonts w:asciiTheme="minorHAnsi" w:hAnsiTheme="minorHAnsi"/>
          <w:b/>
          <w:sz w:val="20"/>
          <w:szCs w:val="20"/>
        </w:rPr>
      </w:pPr>
      <w:proofErr w:type="gramStart"/>
      <w:r w:rsidRPr="00FD1B4D">
        <w:rPr>
          <w:rStyle w:val="black2"/>
          <w:rFonts w:asciiTheme="minorHAnsi" w:hAnsiTheme="minorHAnsi"/>
          <w:b/>
          <w:sz w:val="20"/>
          <w:szCs w:val="20"/>
        </w:rPr>
        <w:lastRenderedPageBreak/>
        <w:t>Employee voluntary deductions.</w:t>
      </w:r>
      <w:proofErr w:type="gramEnd"/>
      <w:r w:rsidRPr="00FD1B4D">
        <w:rPr>
          <w:rFonts w:asciiTheme="minorHAnsi" w:hAnsiTheme="minorHAnsi"/>
          <w:b/>
          <w:sz w:val="20"/>
          <w:szCs w:val="20"/>
        </w:rPr>
        <w:t xml:space="preserve"> </w:t>
      </w:r>
    </w:p>
    <w:p w:rsidR="00E77BB3" w:rsidRPr="00FD1B4D" w:rsidRDefault="00E77BB3" w:rsidP="00FD1B4D">
      <w:pPr>
        <w:pStyle w:val="NormalWeb"/>
        <w:jc w:val="both"/>
        <w:rPr>
          <w:rFonts w:asciiTheme="minorHAnsi" w:hAnsiTheme="minorHAnsi"/>
          <w:sz w:val="20"/>
          <w:szCs w:val="20"/>
        </w:rPr>
      </w:pPr>
      <w:r w:rsidRPr="00FD1B4D">
        <w:rPr>
          <w:rFonts w:asciiTheme="minorHAnsi" w:hAnsiTheme="minorHAnsi"/>
          <w:sz w:val="20"/>
          <w:szCs w:val="20"/>
        </w:rPr>
        <w:t>Beyond Social Security, Medicare, and income taxes, employers often withhold other amounts from employees' earnings. These withholdings arise from employee requests, contracts, unions, or other agreements. They can include amounts for charitable giving, medical and life insurance premiums, pension contributions, and union dues. Until they are paid, such withholdings are reported as part of employers' current liabilities.</w:t>
      </w:r>
    </w:p>
    <w:p w:rsidR="00E10736" w:rsidRPr="00FD1B4D" w:rsidRDefault="00E77BB3" w:rsidP="00FD1B4D">
      <w:pPr>
        <w:pStyle w:val="NormalWeb"/>
        <w:jc w:val="both"/>
        <w:rPr>
          <w:rFonts w:asciiTheme="minorHAnsi" w:hAnsiTheme="minorHAnsi"/>
          <w:b/>
          <w:sz w:val="20"/>
          <w:szCs w:val="20"/>
        </w:rPr>
      </w:pPr>
      <w:proofErr w:type="gramStart"/>
      <w:r w:rsidRPr="00FD1B4D">
        <w:rPr>
          <w:rStyle w:val="black2"/>
          <w:rFonts w:asciiTheme="minorHAnsi" w:hAnsiTheme="minorHAnsi"/>
          <w:b/>
          <w:sz w:val="20"/>
          <w:szCs w:val="20"/>
        </w:rPr>
        <w:t>Recording employee payroll deductions.</w:t>
      </w:r>
      <w:proofErr w:type="gramEnd"/>
      <w:r w:rsidRPr="00FD1B4D">
        <w:rPr>
          <w:rFonts w:asciiTheme="minorHAnsi" w:hAnsiTheme="minorHAnsi"/>
          <w:b/>
          <w:sz w:val="20"/>
          <w:szCs w:val="20"/>
        </w:rPr>
        <w:t xml:space="preserve"> </w:t>
      </w:r>
    </w:p>
    <w:p w:rsidR="00770844" w:rsidRDefault="00770844" w:rsidP="00FD1B4D">
      <w:pPr>
        <w:pStyle w:val="NormalWeb"/>
        <w:jc w:val="both"/>
        <w:rPr>
          <w:rFonts w:asciiTheme="minorHAnsi" w:hAnsiTheme="minorHAnsi"/>
          <w:sz w:val="20"/>
          <w:szCs w:val="20"/>
        </w:rPr>
      </w:pPr>
      <w:r w:rsidRPr="00770844">
        <w:drawing>
          <wp:inline distT="0" distB="0" distL="0" distR="0">
            <wp:extent cx="3983990" cy="97980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83990" cy="979805"/>
                    </a:xfrm>
                    <a:prstGeom prst="rect">
                      <a:avLst/>
                    </a:prstGeom>
                    <a:noFill/>
                    <a:ln>
                      <a:noFill/>
                    </a:ln>
                  </pic:spPr>
                </pic:pic>
              </a:graphicData>
            </a:graphic>
          </wp:inline>
        </w:drawing>
      </w:r>
    </w:p>
    <w:p w:rsidR="00E77BB3" w:rsidRPr="00FD1B4D" w:rsidRDefault="00E77BB3" w:rsidP="00FD1B4D">
      <w:pPr>
        <w:pStyle w:val="NormalWeb"/>
        <w:jc w:val="both"/>
        <w:rPr>
          <w:rFonts w:asciiTheme="minorHAnsi" w:hAnsiTheme="minorHAnsi"/>
          <w:sz w:val="20"/>
          <w:szCs w:val="20"/>
        </w:rPr>
      </w:pPr>
      <w:r w:rsidRPr="00FD1B4D">
        <w:rPr>
          <w:rFonts w:asciiTheme="minorHAnsi" w:hAnsiTheme="minorHAnsi"/>
          <w:sz w:val="20"/>
          <w:szCs w:val="20"/>
        </w:rPr>
        <w:t xml:space="preserve">Employers must accrue payroll expenses and liabilities at the end of each pay period. </w:t>
      </w:r>
    </w:p>
    <w:tbl>
      <w:tblPr>
        <w:tblW w:w="0" w:type="auto"/>
        <w:tblCellSpacing w:w="0" w:type="dxa"/>
        <w:tblCellMar>
          <w:left w:w="0" w:type="dxa"/>
          <w:right w:w="0" w:type="dxa"/>
        </w:tblCellMar>
        <w:tblLook w:val="04A0" w:firstRow="1" w:lastRow="0" w:firstColumn="1" w:lastColumn="0" w:noHBand="0" w:noVBand="1"/>
      </w:tblPr>
      <w:tblGrid>
        <w:gridCol w:w="6"/>
      </w:tblGrid>
      <w:tr w:rsidR="00E77BB3" w:rsidRPr="00FD1B4D" w:rsidTr="00E77BB3">
        <w:trPr>
          <w:tblCellSpacing w:w="0" w:type="dxa"/>
        </w:trPr>
        <w:tc>
          <w:tcPr>
            <w:tcW w:w="0" w:type="auto"/>
            <w:hideMark/>
          </w:tcPr>
          <w:p w:rsidR="00E77BB3" w:rsidRPr="00FD1B4D" w:rsidRDefault="00E77BB3" w:rsidP="00FD1B4D">
            <w:pPr>
              <w:jc w:val="both"/>
              <w:divId w:val="201330319"/>
              <w:rPr>
                <w:rFonts w:asciiTheme="minorHAnsi" w:hAnsiTheme="minorHAnsi"/>
                <w:sz w:val="20"/>
                <w:szCs w:val="20"/>
              </w:rPr>
            </w:pPr>
          </w:p>
        </w:tc>
      </w:tr>
    </w:tbl>
    <w:p w:rsidR="00770844" w:rsidRDefault="00770844" w:rsidP="00FD1B4D">
      <w:pPr>
        <w:pStyle w:val="NormalWeb"/>
        <w:jc w:val="both"/>
        <w:rPr>
          <w:rStyle w:val="black"/>
          <w:rFonts w:asciiTheme="minorHAnsi" w:hAnsiTheme="minorHAnsi"/>
          <w:b/>
          <w:sz w:val="20"/>
          <w:szCs w:val="20"/>
        </w:rPr>
      </w:pPr>
    </w:p>
    <w:p w:rsidR="00770844" w:rsidRDefault="00770844">
      <w:pPr>
        <w:rPr>
          <w:rStyle w:val="black"/>
          <w:rFonts w:asciiTheme="minorHAnsi" w:eastAsia="Times New Roman" w:hAnsiTheme="minorHAnsi"/>
          <w:b/>
          <w:sz w:val="20"/>
          <w:szCs w:val="20"/>
        </w:rPr>
      </w:pPr>
      <w:r>
        <w:rPr>
          <w:rStyle w:val="black"/>
          <w:rFonts w:asciiTheme="minorHAnsi" w:hAnsiTheme="minorHAnsi"/>
          <w:b/>
          <w:sz w:val="20"/>
          <w:szCs w:val="20"/>
        </w:rPr>
        <w:br w:type="page"/>
      </w:r>
    </w:p>
    <w:p w:rsidR="00E10736" w:rsidRPr="00FD1B4D" w:rsidRDefault="00E77BB3" w:rsidP="00FD1B4D">
      <w:pPr>
        <w:pStyle w:val="NormalWeb"/>
        <w:jc w:val="both"/>
        <w:rPr>
          <w:rFonts w:asciiTheme="minorHAnsi" w:hAnsiTheme="minorHAnsi"/>
          <w:b/>
          <w:sz w:val="20"/>
          <w:szCs w:val="20"/>
        </w:rPr>
      </w:pPr>
      <w:r w:rsidRPr="00FD1B4D">
        <w:rPr>
          <w:rStyle w:val="black"/>
          <w:rFonts w:asciiTheme="minorHAnsi" w:hAnsiTheme="minorHAnsi"/>
          <w:b/>
          <w:sz w:val="20"/>
          <w:szCs w:val="20"/>
        </w:rPr>
        <w:lastRenderedPageBreak/>
        <w:t>Employer Payroll Taxes</w:t>
      </w:r>
      <w:r w:rsidRPr="00FD1B4D">
        <w:rPr>
          <w:rFonts w:asciiTheme="minorHAnsi" w:hAnsiTheme="minorHAnsi"/>
          <w:b/>
          <w:sz w:val="20"/>
          <w:szCs w:val="20"/>
        </w:rPr>
        <w:t xml:space="preserve"> </w:t>
      </w:r>
    </w:p>
    <w:p w:rsidR="00E77BB3" w:rsidRPr="00FD1B4D" w:rsidRDefault="00E77BB3" w:rsidP="00FD1B4D">
      <w:pPr>
        <w:pStyle w:val="NormalWeb"/>
        <w:jc w:val="both"/>
        <w:rPr>
          <w:rFonts w:asciiTheme="minorHAnsi" w:hAnsiTheme="minorHAnsi"/>
          <w:sz w:val="20"/>
          <w:szCs w:val="20"/>
        </w:rPr>
      </w:pPr>
      <w:r w:rsidRPr="00FD1B4D">
        <w:rPr>
          <w:rFonts w:asciiTheme="minorHAnsi" w:hAnsiTheme="minorHAnsi"/>
          <w:sz w:val="20"/>
          <w:szCs w:val="20"/>
        </w:rPr>
        <w:t>Employers must pay payroll taxes in addition to those required of employees. Employer taxes include FICA and unemployment taxes.</w:t>
      </w:r>
    </w:p>
    <w:p w:rsidR="00770844" w:rsidRDefault="00770844" w:rsidP="00FD1B4D">
      <w:pPr>
        <w:pStyle w:val="NormalWeb"/>
        <w:jc w:val="both"/>
        <w:rPr>
          <w:rStyle w:val="apple-converted-space"/>
          <w:rFonts w:asciiTheme="minorHAnsi" w:hAnsiTheme="minorHAnsi"/>
          <w:color w:val="333333"/>
          <w:sz w:val="20"/>
          <w:szCs w:val="20"/>
        </w:rPr>
      </w:pPr>
      <w:r>
        <w:rPr>
          <w:rStyle w:val="black2"/>
          <w:rFonts w:asciiTheme="minorHAnsi" w:hAnsiTheme="minorHAnsi"/>
          <w:b/>
          <w:sz w:val="20"/>
          <w:szCs w:val="20"/>
        </w:rPr>
        <w:t>Employer FICA tax</w:t>
      </w:r>
      <w:r w:rsidRPr="00770844">
        <w:rPr>
          <w:rStyle w:val="apple-converted-space"/>
          <w:rFonts w:asciiTheme="minorHAnsi" w:hAnsiTheme="minorHAnsi"/>
          <w:color w:val="333333"/>
          <w:sz w:val="20"/>
          <w:szCs w:val="20"/>
        </w:rPr>
        <w:t> </w:t>
      </w:r>
    </w:p>
    <w:p w:rsidR="00E10736" w:rsidRPr="00770844" w:rsidRDefault="00770844" w:rsidP="00FD1B4D">
      <w:pPr>
        <w:pStyle w:val="NormalWeb"/>
        <w:jc w:val="both"/>
        <w:rPr>
          <w:rFonts w:asciiTheme="minorHAnsi" w:hAnsiTheme="minorHAnsi"/>
          <w:b/>
          <w:sz w:val="20"/>
          <w:szCs w:val="20"/>
        </w:rPr>
      </w:pPr>
      <w:r w:rsidRPr="00770844">
        <w:rPr>
          <w:rFonts w:asciiTheme="minorHAnsi" w:hAnsiTheme="minorHAnsi"/>
          <w:color w:val="333333"/>
          <w:sz w:val="20"/>
          <w:szCs w:val="20"/>
        </w:rPr>
        <w:t>Employers must pay FICA taxes on their payroll to employees. For 2012, the employer must pay Social Security tax of 6.2% on the first $113,700 earned by each employee, and 1.45% Medicare tax on all earnings of each employee. A self-employed person must pay both the employee and employer FICA taxes.</w:t>
      </w:r>
    </w:p>
    <w:p w:rsidR="00E10736" w:rsidRPr="004F70E9" w:rsidRDefault="00E77BB3" w:rsidP="00FD1B4D">
      <w:pPr>
        <w:pStyle w:val="NormalWeb"/>
        <w:jc w:val="both"/>
        <w:rPr>
          <w:rFonts w:asciiTheme="minorHAnsi" w:hAnsiTheme="minorHAnsi"/>
          <w:b/>
          <w:sz w:val="20"/>
          <w:szCs w:val="20"/>
        </w:rPr>
      </w:pPr>
      <w:r w:rsidRPr="004F70E9">
        <w:rPr>
          <w:rStyle w:val="black2"/>
          <w:rFonts w:asciiTheme="minorHAnsi" w:hAnsiTheme="minorHAnsi"/>
          <w:b/>
          <w:sz w:val="20"/>
          <w:szCs w:val="20"/>
        </w:rPr>
        <w:t>Feder</w:t>
      </w:r>
      <w:r w:rsidR="00770844" w:rsidRPr="004F70E9">
        <w:rPr>
          <w:rStyle w:val="black2"/>
          <w:rFonts w:asciiTheme="minorHAnsi" w:hAnsiTheme="minorHAnsi"/>
          <w:b/>
          <w:sz w:val="20"/>
          <w:szCs w:val="20"/>
        </w:rPr>
        <w:t>al and state unemployment taxes</w:t>
      </w:r>
    </w:p>
    <w:p w:rsidR="00E77BB3" w:rsidRPr="00FD1B4D" w:rsidRDefault="00E77BB3" w:rsidP="00FD1B4D">
      <w:pPr>
        <w:pStyle w:val="NormalWeb"/>
        <w:jc w:val="both"/>
        <w:rPr>
          <w:rFonts w:asciiTheme="minorHAnsi" w:hAnsiTheme="minorHAnsi"/>
          <w:sz w:val="20"/>
          <w:szCs w:val="20"/>
        </w:rPr>
      </w:pPr>
      <w:r w:rsidRPr="00FD1B4D">
        <w:rPr>
          <w:rFonts w:asciiTheme="minorHAnsi" w:hAnsiTheme="minorHAnsi"/>
          <w:sz w:val="20"/>
          <w:szCs w:val="20"/>
        </w:rPr>
        <w:t xml:space="preserve">The federal government participates with states in a joint federal and state unemployment insurance program. Each state administers its program. These programs provide unemployment benefits to qualified workers. </w:t>
      </w:r>
    </w:p>
    <w:p w:rsidR="00E10736" w:rsidRPr="00FD1B4D" w:rsidRDefault="00E77BB3" w:rsidP="00FD1B4D">
      <w:pPr>
        <w:pStyle w:val="NormalWeb"/>
        <w:jc w:val="both"/>
        <w:rPr>
          <w:rFonts w:asciiTheme="minorHAnsi" w:hAnsiTheme="minorHAnsi"/>
          <w:sz w:val="20"/>
          <w:szCs w:val="20"/>
        </w:rPr>
      </w:pPr>
      <w:r w:rsidRPr="00FD1B4D">
        <w:rPr>
          <w:rFonts w:asciiTheme="minorHAnsi" w:hAnsiTheme="minorHAnsi"/>
          <w:b/>
          <w:bCs/>
          <w:i/>
          <w:iCs/>
          <w:sz w:val="20"/>
          <w:szCs w:val="20"/>
        </w:rPr>
        <w:t>Federal Unemployment Taxes (FUTA)</w:t>
      </w:r>
      <w:r w:rsidRPr="00FD1B4D">
        <w:rPr>
          <w:rFonts w:asciiTheme="minorHAnsi" w:hAnsiTheme="minorHAnsi"/>
          <w:b/>
          <w:bCs/>
          <w:sz w:val="20"/>
          <w:szCs w:val="20"/>
        </w:rPr>
        <w:t>.</w:t>
      </w:r>
      <w:r w:rsidRPr="00FD1B4D">
        <w:rPr>
          <w:rFonts w:asciiTheme="minorHAnsi" w:hAnsiTheme="minorHAnsi"/>
          <w:sz w:val="20"/>
          <w:szCs w:val="20"/>
        </w:rPr>
        <w:t xml:space="preserve"> </w:t>
      </w:r>
    </w:p>
    <w:p w:rsidR="00E77BB3" w:rsidRPr="00FD1B4D" w:rsidRDefault="00E77BB3" w:rsidP="00FD1B4D">
      <w:pPr>
        <w:pStyle w:val="NormalWeb"/>
        <w:jc w:val="both"/>
        <w:rPr>
          <w:rFonts w:asciiTheme="minorHAnsi" w:hAnsiTheme="minorHAnsi"/>
          <w:sz w:val="20"/>
          <w:szCs w:val="20"/>
        </w:rPr>
      </w:pPr>
      <w:r w:rsidRPr="00FD1B4D">
        <w:rPr>
          <w:rFonts w:asciiTheme="minorHAnsi" w:hAnsiTheme="minorHAnsi"/>
          <w:sz w:val="20"/>
          <w:szCs w:val="20"/>
        </w:rPr>
        <w:t xml:space="preserve">Employers are subject to a federal unemployment tax on wages and salaries paid to their employees. </w:t>
      </w:r>
    </w:p>
    <w:p w:rsidR="00E10736" w:rsidRPr="00FD1B4D" w:rsidRDefault="00E77BB3" w:rsidP="00FD1B4D">
      <w:pPr>
        <w:pStyle w:val="NormalWeb"/>
        <w:jc w:val="both"/>
        <w:rPr>
          <w:rFonts w:asciiTheme="minorHAnsi" w:hAnsiTheme="minorHAnsi"/>
          <w:sz w:val="20"/>
          <w:szCs w:val="20"/>
        </w:rPr>
      </w:pPr>
      <w:r w:rsidRPr="00FD1B4D">
        <w:rPr>
          <w:rFonts w:asciiTheme="minorHAnsi" w:hAnsiTheme="minorHAnsi"/>
          <w:b/>
          <w:bCs/>
          <w:i/>
          <w:iCs/>
          <w:sz w:val="20"/>
          <w:szCs w:val="20"/>
        </w:rPr>
        <w:t>State Unemployment Taxes (SUTA)</w:t>
      </w:r>
      <w:r w:rsidRPr="00FD1B4D">
        <w:rPr>
          <w:rFonts w:asciiTheme="minorHAnsi" w:hAnsiTheme="minorHAnsi"/>
          <w:b/>
          <w:bCs/>
          <w:sz w:val="20"/>
          <w:szCs w:val="20"/>
        </w:rPr>
        <w:t>.</w:t>
      </w:r>
      <w:r w:rsidRPr="00FD1B4D">
        <w:rPr>
          <w:rFonts w:asciiTheme="minorHAnsi" w:hAnsiTheme="minorHAnsi"/>
          <w:sz w:val="20"/>
          <w:szCs w:val="20"/>
        </w:rPr>
        <w:t xml:space="preserve"> </w:t>
      </w:r>
    </w:p>
    <w:p w:rsidR="00E10736" w:rsidRPr="00FD1B4D" w:rsidRDefault="00E77BB3" w:rsidP="00FD1B4D">
      <w:pPr>
        <w:pStyle w:val="NormalWeb"/>
        <w:jc w:val="both"/>
        <w:rPr>
          <w:rFonts w:asciiTheme="minorHAnsi" w:hAnsiTheme="minorHAnsi"/>
          <w:sz w:val="20"/>
          <w:szCs w:val="20"/>
        </w:rPr>
      </w:pPr>
      <w:r w:rsidRPr="00FD1B4D">
        <w:rPr>
          <w:rFonts w:asciiTheme="minorHAnsi" w:hAnsiTheme="minorHAnsi"/>
          <w:sz w:val="20"/>
          <w:szCs w:val="20"/>
        </w:rPr>
        <w:t xml:space="preserve">All states support their unemployment insurance programs by placing a payroll tax on employers. </w:t>
      </w:r>
    </w:p>
    <w:p w:rsidR="00E10736" w:rsidRPr="00FD1B4D" w:rsidRDefault="00E77BB3" w:rsidP="00FD1B4D">
      <w:pPr>
        <w:pStyle w:val="NormalWeb"/>
        <w:jc w:val="both"/>
        <w:rPr>
          <w:rFonts w:asciiTheme="minorHAnsi" w:hAnsiTheme="minorHAnsi"/>
          <w:b/>
          <w:sz w:val="20"/>
          <w:szCs w:val="20"/>
        </w:rPr>
      </w:pPr>
      <w:proofErr w:type="gramStart"/>
      <w:r w:rsidRPr="00FD1B4D">
        <w:rPr>
          <w:rStyle w:val="black2"/>
          <w:rFonts w:asciiTheme="minorHAnsi" w:hAnsiTheme="minorHAnsi"/>
          <w:b/>
          <w:sz w:val="20"/>
          <w:szCs w:val="20"/>
        </w:rPr>
        <w:t>Recording employer payroll taxes.</w:t>
      </w:r>
      <w:proofErr w:type="gramEnd"/>
      <w:r w:rsidRPr="00FD1B4D">
        <w:rPr>
          <w:rFonts w:asciiTheme="minorHAnsi" w:hAnsiTheme="minorHAnsi"/>
          <w:b/>
          <w:sz w:val="20"/>
          <w:szCs w:val="20"/>
        </w:rPr>
        <w:t xml:space="preserve"> </w:t>
      </w:r>
    </w:p>
    <w:p w:rsidR="001F1270" w:rsidRPr="00FD1B4D" w:rsidRDefault="00E77BB3" w:rsidP="00FD1B4D">
      <w:pPr>
        <w:pStyle w:val="NormalWeb"/>
        <w:jc w:val="both"/>
        <w:rPr>
          <w:rFonts w:asciiTheme="minorHAnsi" w:hAnsiTheme="minorHAnsi"/>
          <w:sz w:val="20"/>
          <w:szCs w:val="20"/>
        </w:rPr>
      </w:pPr>
      <w:r w:rsidRPr="00FD1B4D">
        <w:rPr>
          <w:rFonts w:asciiTheme="minorHAnsi" w:hAnsiTheme="minorHAnsi"/>
          <w:sz w:val="20"/>
          <w:szCs w:val="20"/>
        </w:rPr>
        <w:t xml:space="preserve">Employer payroll taxes are an </w:t>
      </w:r>
      <w:r w:rsidRPr="004F70E9">
        <w:rPr>
          <w:rFonts w:asciiTheme="minorHAnsi" w:hAnsiTheme="minorHAnsi"/>
          <w:b/>
          <w:sz w:val="20"/>
          <w:szCs w:val="20"/>
        </w:rPr>
        <w:t>added expense</w:t>
      </w:r>
      <w:r w:rsidRPr="00FD1B4D">
        <w:rPr>
          <w:rFonts w:asciiTheme="minorHAnsi" w:hAnsiTheme="minorHAnsi"/>
          <w:sz w:val="20"/>
          <w:szCs w:val="20"/>
        </w:rPr>
        <w:t xml:space="preserve"> beyond the wages and salaries earned by employees. </w:t>
      </w:r>
    </w:p>
    <w:p w:rsidR="001F1270" w:rsidRPr="00FD1B4D" w:rsidRDefault="00E77BB3" w:rsidP="00FD1B4D">
      <w:pPr>
        <w:pStyle w:val="NormalWeb"/>
        <w:jc w:val="both"/>
        <w:rPr>
          <w:rFonts w:asciiTheme="minorHAnsi" w:hAnsiTheme="minorHAnsi"/>
          <w:sz w:val="20"/>
          <w:szCs w:val="20"/>
        </w:rPr>
      </w:pPr>
      <w:r w:rsidRPr="00FD1B4D">
        <w:rPr>
          <w:rFonts w:asciiTheme="minorHAnsi" w:hAnsiTheme="minorHAnsi"/>
          <w:sz w:val="20"/>
          <w:szCs w:val="20"/>
        </w:rPr>
        <w:t xml:space="preserve">These taxes are often recorded in an entry separate from the one recording payroll expenses and deductions. </w:t>
      </w:r>
    </w:p>
    <w:p w:rsidR="00E77BB3" w:rsidRPr="00FD1B4D" w:rsidRDefault="00E77BB3" w:rsidP="00FD1B4D">
      <w:pPr>
        <w:pStyle w:val="NormalWeb"/>
        <w:jc w:val="both"/>
        <w:rPr>
          <w:rFonts w:asciiTheme="minorHAnsi" w:hAnsiTheme="minorHAnsi"/>
          <w:sz w:val="20"/>
          <w:szCs w:val="20"/>
        </w:rPr>
      </w:pPr>
      <w:r w:rsidRPr="00FD1B4D">
        <w:rPr>
          <w:rFonts w:asciiTheme="minorHAnsi" w:hAnsiTheme="minorHAnsi"/>
          <w:sz w:val="20"/>
          <w:szCs w:val="20"/>
        </w:rPr>
        <w:t>The entry to record the employer's payroll tax expense and related liabilities is</w:t>
      </w:r>
    </w:p>
    <w:p w:rsidR="00BA3EEE" w:rsidRDefault="007277B5" w:rsidP="007277B5">
      <w:pPr>
        <w:jc w:val="both"/>
        <w:rPr>
          <w:rFonts w:asciiTheme="minorHAnsi" w:eastAsia="Times New Roman" w:hAnsiTheme="minorHAnsi"/>
          <w:sz w:val="20"/>
          <w:szCs w:val="20"/>
        </w:rPr>
      </w:pPr>
      <w:r w:rsidRPr="007277B5">
        <w:drawing>
          <wp:inline distT="0" distB="0" distL="0" distR="0">
            <wp:extent cx="3983990" cy="81915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83990" cy="819150"/>
                    </a:xfrm>
                    <a:prstGeom prst="rect">
                      <a:avLst/>
                    </a:prstGeom>
                    <a:noFill/>
                    <a:ln>
                      <a:noFill/>
                    </a:ln>
                  </pic:spPr>
                </pic:pic>
              </a:graphicData>
            </a:graphic>
          </wp:inline>
        </w:drawing>
      </w:r>
    </w:p>
    <w:p w:rsidR="003F187D" w:rsidRDefault="003F187D" w:rsidP="007277B5">
      <w:pPr>
        <w:jc w:val="both"/>
        <w:rPr>
          <w:rFonts w:asciiTheme="minorHAnsi" w:eastAsia="Times New Roman" w:hAnsiTheme="minorHAnsi"/>
          <w:sz w:val="20"/>
          <w:szCs w:val="20"/>
        </w:rPr>
      </w:pPr>
    </w:p>
    <w:p w:rsidR="003F187D" w:rsidRPr="00FD1B4D" w:rsidRDefault="003F187D" w:rsidP="007277B5">
      <w:pPr>
        <w:jc w:val="both"/>
        <w:rPr>
          <w:rFonts w:asciiTheme="minorHAnsi" w:eastAsia="Times New Roman" w:hAnsiTheme="minorHAnsi"/>
          <w:sz w:val="20"/>
          <w:szCs w:val="20"/>
        </w:rPr>
      </w:pPr>
      <w:r>
        <w:rPr>
          <w:rFonts w:asciiTheme="minorHAnsi" w:eastAsia="Times New Roman" w:hAnsiTheme="minorHAnsi"/>
          <w:sz w:val="20"/>
          <w:szCs w:val="20"/>
        </w:rPr>
        <w:t xml:space="preserve">Calculations of payroll thresholds can be complicated.  </w:t>
      </w:r>
      <w:hyperlink r:id="rId23" w:history="1">
        <w:r w:rsidRPr="003F187D">
          <w:rPr>
            <w:rStyle w:val="Hyperlink"/>
            <w:rFonts w:asciiTheme="minorHAnsi" w:eastAsia="Times New Roman" w:hAnsiTheme="minorHAnsi"/>
            <w:sz w:val="20"/>
            <w:szCs w:val="20"/>
          </w:rPr>
          <w:t>Watch this video for clarification.</w:t>
        </w:r>
      </w:hyperlink>
      <w:r>
        <w:rPr>
          <w:rFonts w:asciiTheme="minorHAnsi" w:eastAsia="Times New Roman" w:hAnsiTheme="minorHAnsi"/>
          <w:sz w:val="20"/>
          <w:szCs w:val="20"/>
        </w:rPr>
        <w:t xml:space="preserve"> </w:t>
      </w:r>
    </w:p>
    <w:p w:rsidR="00BA3EEE" w:rsidRPr="00FD1B4D" w:rsidRDefault="00BA3EEE" w:rsidP="00FD1B4D">
      <w:pPr>
        <w:spacing w:before="100" w:beforeAutospacing="1" w:after="100" w:afterAutospacing="1" w:line="240" w:lineRule="auto"/>
        <w:jc w:val="both"/>
        <w:rPr>
          <w:rFonts w:asciiTheme="minorHAnsi" w:eastAsia="Times New Roman" w:hAnsiTheme="minorHAnsi"/>
          <w:sz w:val="20"/>
          <w:szCs w:val="20"/>
        </w:rPr>
      </w:pPr>
    </w:p>
    <w:p w:rsidR="001F1270" w:rsidRPr="00FD1B4D" w:rsidRDefault="001F1270" w:rsidP="00FD1B4D">
      <w:pPr>
        <w:jc w:val="both"/>
        <w:rPr>
          <w:rFonts w:asciiTheme="minorHAnsi" w:hAnsiTheme="minorHAnsi"/>
          <w:sz w:val="20"/>
          <w:szCs w:val="20"/>
        </w:rPr>
      </w:pPr>
      <w:r w:rsidRPr="00FD1B4D">
        <w:rPr>
          <w:rFonts w:asciiTheme="minorHAnsi" w:hAnsiTheme="minorHAnsi"/>
          <w:sz w:val="20"/>
          <w:szCs w:val="20"/>
        </w:rPr>
        <w:br w:type="page"/>
      </w:r>
    </w:p>
    <w:p w:rsidR="00C03065" w:rsidRPr="00FD1B4D" w:rsidRDefault="00C03065" w:rsidP="00FD1B4D">
      <w:pPr>
        <w:jc w:val="both"/>
        <w:rPr>
          <w:rFonts w:asciiTheme="minorHAnsi" w:hAnsiTheme="minorHAnsi"/>
          <w:b/>
          <w:sz w:val="20"/>
          <w:szCs w:val="20"/>
        </w:rPr>
      </w:pPr>
      <w:r w:rsidRPr="00FD1B4D">
        <w:rPr>
          <w:rStyle w:val="sectitle"/>
          <w:rFonts w:asciiTheme="minorHAnsi" w:hAnsiTheme="minorHAnsi"/>
          <w:b/>
          <w:sz w:val="20"/>
          <w:szCs w:val="20"/>
        </w:rPr>
        <w:lastRenderedPageBreak/>
        <w:t>ESTIMATED LIABILITIES</w:t>
      </w:r>
      <w:r w:rsidRPr="00FD1B4D">
        <w:rPr>
          <w:rFonts w:asciiTheme="minorHAnsi" w:hAnsiTheme="minorHAnsi"/>
          <w:b/>
          <w:sz w:val="20"/>
          <w:szCs w:val="20"/>
        </w:rPr>
        <w:t xml:space="preserve"> </w:t>
      </w:r>
    </w:p>
    <w:p w:rsidR="00C03065" w:rsidRPr="00FD1B4D" w:rsidRDefault="00C03065" w:rsidP="00FD1B4D">
      <w:pPr>
        <w:pStyle w:val="NormalWeb"/>
        <w:jc w:val="both"/>
        <w:rPr>
          <w:rFonts w:asciiTheme="minorHAnsi" w:hAnsiTheme="minorHAnsi"/>
          <w:sz w:val="20"/>
          <w:szCs w:val="20"/>
        </w:rPr>
      </w:pPr>
      <w:r w:rsidRPr="00FD1B4D">
        <w:rPr>
          <w:rFonts w:asciiTheme="minorHAnsi" w:hAnsiTheme="minorHAnsi"/>
          <w:sz w:val="20"/>
          <w:szCs w:val="20"/>
        </w:rPr>
        <w:t xml:space="preserve">An </w:t>
      </w:r>
      <w:r w:rsidRPr="00FD1B4D">
        <w:rPr>
          <w:rFonts w:asciiTheme="minorHAnsi" w:hAnsiTheme="minorHAnsi"/>
          <w:b/>
          <w:bCs/>
          <w:sz w:val="20"/>
          <w:szCs w:val="20"/>
        </w:rPr>
        <w:t>estimated liability</w:t>
      </w:r>
      <w:r w:rsidRPr="00FD1B4D">
        <w:rPr>
          <w:rFonts w:asciiTheme="minorHAnsi" w:hAnsiTheme="minorHAnsi"/>
          <w:sz w:val="20"/>
          <w:szCs w:val="20"/>
        </w:rPr>
        <w:t xml:space="preserve"> is a known obligation that is of an uncertain amount but that can be reasonably estimated. Common examples are employee benefits such as pensio</w:t>
      </w:r>
      <w:r w:rsidR="003F187D">
        <w:rPr>
          <w:rFonts w:asciiTheme="minorHAnsi" w:hAnsiTheme="minorHAnsi"/>
          <w:sz w:val="20"/>
          <w:szCs w:val="20"/>
        </w:rPr>
        <w:t>ns, health care</w:t>
      </w:r>
      <w:r w:rsidRPr="00FD1B4D">
        <w:rPr>
          <w:rFonts w:asciiTheme="minorHAnsi" w:hAnsiTheme="minorHAnsi"/>
          <w:sz w:val="20"/>
          <w:szCs w:val="20"/>
        </w:rPr>
        <w:t>, and warranties offered by a seller. We discuss each of these in this section. Other examples of estimated liabilities include property taxes and certain contracts to provide future services.</w:t>
      </w:r>
    </w:p>
    <w:p w:rsidR="00C03065" w:rsidRPr="00FD1B4D" w:rsidRDefault="00C03065" w:rsidP="00FD1B4D">
      <w:pPr>
        <w:jc w:val="both"/>
        <w:rPr>
          <w:rFonts w:asciiTheme="minorHAnsi" w:hAnsiTheme="minorHAnsi"/>
          <w:b/>
          <w:sz w:val="20"/>
          <w:szCs w:val="20"/>
        </w:rPr>
      </w:pPr>
      <w:r w:rsidRPr="00FD1B4D">
        <w:rPr>
          <w:rStyle w:val="sectitle"/>
          <w:rFonts w:asciiTheme="minorHAnsi" w:hAnsiTheme="minorHAnsi"/>
          <w:b/>
          <w:sz w:val="20"/>
          <w:szCs w:val="20"/>
        </w:rPr>
        <w:t>Health and Pension Benefits</w:t>
      </w:r>
      <w:r w:rsidRPr="00FD1B4D">
        <w:rPr>
          <w:rFonts w:asciiTheme="minorHAnsi" w:hAnsiTheme="minorHAnsi"/>
          <w:b/>
          <w:sz w:val="20"/>
          <w:szCs w:val="20"/>
        </w:rPr>
        <w:t xml:space="preserve"> </w:t>
      </w:r>
    </w:p>
    <w:p w:rsidR="00C03065" w:rsidRPr="00FD1B4D" w:rsidRDefault="00C03065" w:rsidP="00FD1B4D">
      <w:pPr>
        <w:pStyle w:val="NormalWeb"/>
        <w:jc w:val="both"/>
        <w:rPr>
          <w:rFonts w:asciiTheme="minorHAnsi" w:hAnsiTheme="minorHAnsi"/>
          <w:sz w:val="20"/>
          <w:szCs w:val="20"/>
        </w:rPr>
      </w:pPr>
      <w:r w:rsidRPr="00FD1B4D">
        <w:rPr>
          <w:rFonts w:asciiTheme="minorHAnsi" w:hAnsiTheme="minorHAnsi"/>
          <w:sz w:val="20"/>
          <w:szCs w:val="20"/>
        </w:rPr>
        <w:t xml:space="preserve">Many companies provide </w:t>
      </w:r>
      <w:r w:rsidRPr="00FD1B4D">
        <w:rPr>
          <w:rFonts w:asciiTheme="minorHAnsi" w:hAnsiTheme="minorHAnsi"/>
          <w:b/>
          <w:bCs/>
          <w:sz w:val="20"/>
          <w:szCs w:val="20"/>
        </w:rPr>
        <w:t>employee benefits</w:t>
      </w:r>
      <w:r w:rsidRPr="00FD1B4D">
        <w:rPr>
          <w:rFonts w:asciiTheme="minorHAnsi" w:hAnsiTheme="minorHAnsi"/>
          <w:sz w:val="20"/>
          <w:szCs w:val="20"/>
        </w:rPr>
        <w:t xml:space="preserve"> beyond salaries and wages. An employer often pays all or part of medical, dental, life, and disability insurance. Many employers also contribute to </w:t>
      </w:r>
      <w:r w:rsidRPr="00FD1B4D">
        <w:rPr>
          <w:rFonts w:asciiTheme="minorHAnsi" w:hAnsiTheme="minorHAnsi"/>
          <w:i/>
          <w:iCs/>
          <w:sz w:val="20"/>
          <w:szCs w:val="20"/>
        </w:rPr>
        <w:t>pension plans</w:t>
      </w:r>
      <w:r w:rsidRPr="00FD1B4D">
        <w:rPr>
          <w:rFonts w:asciiTheme="minorHAnsi" w:hAnsiTheme="minorHAnsi"/>
          <w:sz w:val="20"/>
          <w:szCs w:val="20"/>
        </w:rPr>
        <w:t xml:space="preserve">, which are agreements by employers to provide benefits (payments) to employees after retirement. </w:t>
      </w:r>
    </w:p>
    <w:p w:rsidR="00C03065" w:rsidRPr="00FD1B4D" w:rsidRDefault="00C03065" w:rsidP="00FD1B4D">
      <w:pPr>
        <w:pStyle w:val="NormalWeb"/>
        <w:jc w:val="both"/>
        <w:rPr>
          <w:rFonts w:asciiTheme="minorHAnsi" w:hAnsiTheme="minorHAnsi"/>
          <w:sz w:val="20"/>
          <w:szCs w:val="20"/>
        </w:rPr>
      </w:pPr>
      <w:r w:rsidRPr="00FD1B4D">
        <w:rPr>
          <w:rFonts w:asciiTheme="minorHAnsi" w:hAnsiTheme="minorHAnsi"/>
          <w:sz w:val="20"/>
          <w:szCs w:val="20"/>
        </w:rPr>
        <w:t>To illustrate, assume that an employer agrees to (1) pay an amount for medical insurance equal to $8,000 and (2) contribute an additional 10% of the employees' $120,000 gross salary to a retirement program. The entry to record these accrued benefits is</w:t>
      </w:r>
    </w:p>
    <w:p w:rsidR="00C03065" w:rsidRPr="00FD1B4D" w:rsidRDefault="00C03065" w:rsidP="00FD1B4D">
      <w:pPr>
        <w:jc w:val="both"/>
        <w:rPr>
          <w:rFonts w:asciiTheme="minorHAnsi" w:hAnsiTheme="minorHAnsi"/>
          <w:sz w:val="20"/>
          <w:szCs w:val="20"/>
        </w:rPr>
      </w:pPr>
      <w:r w:rsidRPr="00FD1B4D">
        <w:rPr>
          <w:rFonts w:asciiTheme="minorHAnsi" w:hAnsiTheme="minorHAnsi"/>
          <w:noProof/>
          <w:sz w:val="20"/>
          <w:szCs w:val="20"/>
        </w:rPr>
        <w:drawing>
          <wp:inline distT="0" distB="0" distL="0" distR="0" wp14:anchorId="0B826A46" wp14:editId="2533BAED">
            <wp:extent cx="5730240" cy="609600"/>
            <wp:effectExtent l="0" t="0" r="3810" b="0"/>
            <wp:docPr id="33" name="Picture 33" descr="http://textflow.mheducation.com/figures/007742994X/wiL25389_utb09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42994X_001_019532c" descr="http://textflow.mheducation.com/figures/007742994X/wiL25389_utb0914.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0240" cy="609600"/>
                    </a:xfrm>
                    <a:prstGeom prst="rect">
                      <a:avLst/>
                    </a:prstGeom>
                    <a:noFill/>
                    <a:ln>
                      <a:noFill/>
                    </a:ln>
                  </pic:spPr>
                </pic:pic>
              </a:graphicData>
            </a:graphic>
          </wp:inline>
        </w:drawing>
      </w:r>
    </w:p>
    <w:p w:rsidR="00C03065" w:rsidRPr="00FD1B4D" w:rsidRDefault="00C03065" w:rsidP="00FD1B4D">
      <w:pPr>
        <w:jc w:val="both"/>
        <w:rPr>
          <w:rFonts w:asciiTheme="minorHAnsi" w:eastAsia="Times New Roman" w:hAnsiTheme="minorHAnsi"/>
          <w:sz w:val="20"/>
          <w:szCs w:val="20"/>
        </w:rPr>
      </w:pPr>
      <w:r w:rsidRPr="00FD1B4D">
        <w:rPr>
          <w:rFonts w:asciiTheme="minorHAnsi" w:eastAsia="Times New Roman" w:hAnsiTheme="minorHAnsi"/>
          <w:sz w:val="20"/>
          <w:szCs w:val="20"/>
        </w:rPr>
        <w:br w:type="page"/>
      </w:r>
    </w:p>
    <w:p w:rsidR="00C03065" w:rsidRPr="00FD1B4D" w:rsidRDefault="00C03065" w:rsidP="00FD1B4D">
      <w:pPr>
        <w:spacing w:after="0" w:line="240" w:lineRule="auto"/>
        <w:jc w:val="both"/>
        <w:rPr>
          <w:rFonts w:asciiTheme="minorHAnsi" w:eastAsia="Times New Roman" w:hAnsiTheme="minorHAnsi"/>
          <w:b/>
          <w:sz w:val="20"/>
          <w:szCs w:val="20"/>
        </w:rPr>
      </w:pPr>
      <w:r w:rsidRPr="00FD1B4D">
        <w:rPr>
          <w:rFonts w:asciiTheme="minorHAnsi" w:eastAsia="Times New Roman" w:hAnsiTheme="minorHAnsi"/>
          <w:b/>
          <w:sz w:val="20"/>
          <w:szCs w:val="20"/>
        </w:rPr>
        <w:lastRenderedPageBreak/>
        <w:t xml:space="preserve">Bonus Plans </w:t>
      </w:r>
    </w:p>
    <w:p w:rsidR="00C03065" w:rsidRDefault="00C03065" w:rsidP="00FD1B4D">
      <w:pPr>
        <w:spacing w:before="100" w:beforeAutospacing="1" w:after="100" w:afterAutospacing="1" w:line="240" w:lineRule="auto"/>
        <w:jc w:val="both"/>
        <w:rPr>
          <w:rFonts w:asciiTheme="minorHAnsi" w:eastAsia="Times New Roman" w:hAnsiTheme="minorHAnsi"/>
          <w:sz w:val="20"/>
          <w:szCs w:val="20"/>
        </w:rPr>
      </w:pPr>
      <w:r w:rsidRPr="00FD1B4D">
        <w:rPr>
          <w:rFonts w:asciiTheme="minorHAnsi" w:eastAsia="Times New Roman" w:hAnsiTheme="minorHAnsi"/>
          <w:sz w:val="20"/>
          <w:szCs w:val="20"/>
        </w:rPr>
        <w:t>Many companies offer bonuses to employees, and many of the bonuses depend on net income. To illustrate, assume that an employer offers a b</w:t>
      </w:r>
      <w:r w:rsidR="00456288">
        <w:rPr>
          <w:rFonts w:asciiTheme="minorHAnsi" w:eastAsia="Times New Roman" w:hAnsiTheme="minorHAnsi"/>
          <w:sz w:val="20"/>
          <w:szCs w:val="20"/>
        </w:rPr>
        <w:t>onus to its employees equal to 6</w:t>
      </w:r>
      <w:r w:rsidRPr="00FD1B4D">
        <w:rPr>
          <w:rFonts w:asciiTheme="minorHAnsi" w:eastAsia="Times New Roman" w:hAnsiTheme="minorHAnsi"/>
          <w:sz w:val="20"/>
          <w:szCs w:val="20"/>
        </w:rPr>
        <w:t>% of the company's annual net income (to be equally shared by all). The company's e</w:t>
      </w:r>
      <w:r w:rsidR="00456288">
        <w:rPr>
          <w:rFonts w:asciiTheme="minorHAnsi" w:eastAsia="Times New Roman" w:hAnsiTheme="minorHAnsi"/>
          <w:sz w:val="20"/>
          <w:szCs w:val="20"/>
        </w:rPr>
        <w:t>xpected annual net income is $20</w:t>
      </w:r>
      <w:r w:rsidRPr="00FD1B4D">
        <w:rPr>
          <w:rFonts w:asciiTheme="minorHAnsi" w:eastAsia="Times New Roman" w:hAnsiTheme="minorHAnsi"/>
          <w:sz w:val="20"/>
          <w:szCs w:val="20"/>
        </w:rPr>
        <w:t>0,000. The year-end adjusting entry to record this benefit is</w:t>
      </w:r>
    </w:p>
    <w:p w:rsidR="003F187D" w:rsidRPr="00FD1B4D" w:rsidRDefault="00456288" w:rsidP="00FD1B4D">
      <w:pPr>
        <w:spacing w:before="100" w:beforeAutospacing="1" w:after="100" w:afterAutospacing="1" w:line="240" w:lineRule="auto"/>
        <w:jc w:val="both"/>
        <w:rPr>
          <w:rFonts w:asciiTheme="minorHAnsi" w:eastAsia="Times New Roman" w:hAnsiTheme="minorHAnsi"/>
          <w:sz w:val="20"/>
          <w:szCs w:val="20"/>
        </w:rPr>
      </w:pPr>
      <w:r w:rsidRPr="00456288">
        <w:drawing>
          <wp:inline distT="0" distB="0" distL="0" distR="0">
            <wp:extent cx="2915285" cy="33274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15285" cy="332740"/>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6"/>
      </w:tblGrid>
      <w:tr w:rsidR="00C03065" w:rsidRPr="00FD1B4D" w:rsidTr="00C03065">
        <w:trPr>
          <w:tblCellSpacing w:w="0" w:type="dxa"/>
        </w:trPr>
        <w:tc>
          <w:tcPr>
            <w:tcW w:w="0" w:type="auto"/>
            <w:hideMark/>
          </w:tcPr>
          <w:p w:rsidR="00C03065" w:rsidRPr="00FD1B4D" w:rsidRDefault="00C03065" w:rsidP="00FD1B4D">
            <w:pPr>
              <w:spacing w:after="0" w:line="240" w:lineRule="auto"/>
              <w:jc w:val="both"/>
              <w:divId w:val="399063329"/>
              <w:rPr>
                <w:rFonts w:asciiTheme="minorHAnsi" w:eastAsia="Times New Roman" w:hAnsiTheme="minorHAnsi"/>
                <w:sz w:val="20"/>
                <w:szCs w:val="20"/>
              </w:rPr>
            </w:pPr>
          </w:p>
        </w:tc>
      </w:tr>
    </w:tbl>
    <w:p w:rsidR="00C03065" w:rsidRPr="00FD1B4D" w:rsidRDefault="003F187D" w:rsidP="00FD1B4D">
      <w:pPr>
        <w:spacing w:after="0" w:line="240" w:lineRule="auto"/>
        <w:jc w:val="both"/>
        <w:rPr>
          <w:rFonts w:asciiTheme="minorHAnsi" w:eastAsia="Times New Roman" w:hAnsiTheme="minorHAnsi"/>
          <w:sz w:val="20"/>
          <w:szCs w:val="20"/>
        </w:rPr>
      </w:pPr>
      <w:r w:rsidRPr="003F187D">
        <w:drawing>
          <wp:inline distT="0" distB="0" distL="0" distR="0">
            <wp:extent cx="3182620" cy="162687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82620" cy="1626870"/>
                    </a:xfrm>
                    <a:prstGeom prst="rect">
                      <a:avLst/>
                    </a:prstGeom>
                    <a:noFill/>
                    <a:ln>
                      <a:noFill/>
                    </a:ln>
                  </pic:spPr>
                </pic:pic>
              </a:graphicData>
            </a:graphic>
          </wp:inline>
        </w:drawing>
      </w:r>
    </w:p>
    <w:p w:rsidR="00C03065" w:rsidRDefault="00C03065" w:rsidP="00FD1B4D">
      <w:pPr>
        <w:spacing w:before="100" w:beforeAutospacing="1" w:after="100" w:afterAutospacing="1" w:line="240" w:lineRule="auto"/>
        <w:jc w:val="both"/>
        <w:rPr>
          <w:rFonts w:asciiTheme="minorHAnsi" w:eastAsia="Times New Roman" w:hAnsiTheme="minorHAnsi"/>
          <w:sz w:val="20"/>
          <w:szCs w:val="20"/>
        </w:rPr>
      </w:pPr>
      <w:r w:rsidRPr="00FD1B4D">
        <w:rPr>
          <w:rFonts w:asciiTheme="minorHAnsi" w:eastAsia="Times New Roman" w:hAnsiTheme="minorHAnsi"/>
          <w:sz w:val="20"/>
          <w:szCs w:val="20"/>
        </w:rPr>
        <w:t>When the bonus is paid, Bonus Payable is debited a</w:t>
      </w:r>
      <w:r w:rsidR="00456288">
        <w:rPr>
          <w:rFonts w:asciiTheme="minorHAnsi" w:eastAsia="Times New Roman" w:hAnsiTheme="minorHAnsi"/>
          <w:sz w:val="20"/>
          <w:szCs w:val="20"/>
        </w:rPr>
        <w:t>nd Cash is credited for $11,321</w:t>
      </w:r>
    </w:p>
    <w:p w:rsidR="00456288" w:rsidRPr="00FD1B4D" w:rsidRDefault="00456288" w:rsidP="00FD1B4D">
      <w:pPr>
        <w:spacing w:before="100" w:beforeAutospacing="1" w:after="100" w:afterAutospacing="1" w:line="240" w:lineRule="auto"/>
        <w:jc w:val="both"/>
        <w:rPr>
          <w:rFonts w:asciiTheme="minorHAnsi" w:eastAsia="Times New Roman" w:hAnsiTheme="minorHAnsi"/>
          <w:sz w:val="20"/>
          <w:szCs w:val="20"/>
        </w:rPr>
      </w:pPr>
    </w:p>
    <w:p w:rsidR="00C03065" w:rsidRPr="00FD1B4D" w:rsidRDefault="00C03065" w:rsidP="00FD1B4D">
      <w:pPr>
        <w:jc w:val="both"/>
        <w:rPr>
          <w:rFonts w:asciiTheme="minorHAnsi" w:eastAsia="Times New Roman" w:hAnsiTheme="minorHAnsi"/>
          <w:b/>
          <w:sz w:val="20"/>
          <w:szCs w:val="20"/>
        </w:rPr>
      </w:pPr>
      <w:r w:rsidRPr="00FD1B4D">
        <w:rPr>
          <w:rFonts w:asciiTheme="minorHAnsi" w:eastAsia="Times New Roman" w:hAnsiTheme="minorHAnsi"/>
          <w:b/>
          <w:sz w:val="20"/>
          <w:szCs w:val="20"/>
        </w:rPr>
        <w:br w:type="page"/>
      </w:r>
    </w:p>
    <w:p w:rsidR="00C03065" w:rsidRPr="00FD1B4D" w:rsidRDefault="00C03065" w:rsidP="00FD1B4D">
      <w:pPr>
        <w:spacing w:after="0" w:line="240" w:lineRule="auto"/>
        <w:jc w:val="both"/>
        <w:rPr>
          <w:rFonts w:asciiTheme="minorHAnsi" w:eastAsia="Times New Roman" w:hAnsiTheme="minorHAnsi"/>
          <w:b/>
          <w:sz w:val="20"/>
          <w:szCs w:val="20"/>
        </w:rPr>
      </w:pPr>
      <w:r w:rsidRPr="00FD1B4D">
        <w:rPr>
          <w:rFonts w:asciiTheme="minorHAnsi" w:eastAsia="Times New Roman" w:hAnsiTheme="minorHAnsi"/>
          <w:b/>
          <w:sz w:val="20"/>
          <w:szCs w:val="20"/>
        </w:rPr>
        <w:lastRenderedPageBreak/>
        <w:t xml:space="preserve">Warranty Liabilities </w:t>
      </w:r>
    </w:p>
    <w:p w:rsidR="00C03065" w:rsidRPr="00FD1B4D" w:rsidRDefault="00C03065" w:rsidP="00FD1B4D">
      <w:pPr>
        <w:spacing w:before="100" w:beforeAutospacing="1" w:after="100" w:afterAutospacing="1" w:line="240" w:lineRule="auto"/>
        <w:jc w:val="both"/>
        <w:rPr>
          <w:rFonts w:asciiTheme="minorHAnsi" w:eastAsia="Times New Roman" w:hAnsiTheme="minorHAnsi"/>
          <w:sz w:val="20"/>
          <w:szCs w:val="20"/>
        </w:rPr>
      </w:pPr>
      <w:r w:rsidRPr="00FD1B4D">
        <w:rPr>
          <w:rFonts w:asciiTheme="minorHAnsi" w:eastAsia="Times New Roman" w:hAnsiTheme="minorHAnsi"/>
          <w:sz w:val="20"/>
          <w:szCs w:val="20"/>
        </w:rPr>
        <w:t xml:space="preserve">A </w:t>
      </w:r>
      <w:r w:rsidRPr="00FD1B4D">
        <w:rPr>
          <w:rFonts w:asciiTheme="minorHAnsi" w:eastAsia="Times New Roman" w:hAnsiTheme="minorHAnsi"/>
          <w:b/>
          <w:bCs/>
          <w:sz w:val="20"/>
          <w:szCs w:val="20"/>
        </w:rPr>
        <w:t>warranty</w:t>
      </w:r>
      <w:r w:rsidRPr="00FD1B4D">
        <w:rPr>
          <w:rFonts w:asciiTheme="minorHAnsi" w:eastAsia="Times New Roman" w:hAnsiTheme="minorHAnsi"/>
          <w:sz w:val="20"/>
          <w:szCs w:val="20"/>
        </w:rPr>
        <w:t xml:space="preserve"> is a seller's obligation to replace or correct a product (or service) that fails to perform as expected within a specified period. Most new cars, for instance, are sold with a warranty covering parts for a specified period of time. </w:t>
      </w:r>
    </w:p>
    <w:p w:rsidR="00C03065" w:rsidRPr="00FD1B4D" w:rsidRDefault="00C03065" w:rsidP="00FD1B4D">
      <w:pPr>
        <w:spacing w:before="100" w:beforeAutospacing="1" w:after="100" w:afterAutospacing="1" w:line="240" w:lineRule="auto"/>
        <w:jc w:val="both"/>
        <w:rPr>
          <w:rFonts w:asciiTheme="minorHAnsi" w:eastAsia="Times New Roman" w:hAnsiTheme="minorHAnsi"/>
          <w:sz w:val="20"/>
          <w:szCs w:val="20"/>
        </w:rPr>
      </w:pPr>
      <w:r w:rsidRPr="00FD1B4D">
        <w:rPr>
          <w:rFonts w:asciiTheme="minorHAnsi" w:eastAsia="Times New Roman" w:hAnsiTheme="minorHAnsi"/>
          <w:sz w:val="20"/>
          <w:szCs w:val="20"/>
        </w:rPr>
        <w:t xml:space="preserve">To comply with the </w:t>
      </w:r>
      <w:r w:rsidRPr="00FD1B4D">
        <w:rPr>
          <w:rFonts w:asciiTheme="minorHAnsi" w:eastAsia="Times New Roman" w:hAnsiTheme="minorHAnsi"/>
          <w:i/>
          <w:iCs/>
          <w:sz w:val="20"/>
          <w:szCs w:val="20"/>
        </w:rPr>
        <w:t>full disclosure</w:t>
      </w:r>
      <w:r w:rsidRPr="00FD1B4D">
        <w:rPr>
          <w:rFonts w:asciiTheme="minorHAnsi" w:eastAsia="Times New Roman" w:hAnsiTheme="minorHAnsi"/>
          <w:sz w:val="20"/>
          <w:szCs w:val="20"/>
        </w:rPr>
        <w:t xml:space="preserve"> and </w:t>
      </w:r>
      <w:r w:rsidRPr="00FD1B4D">
        <w:rPr>
          <w:rFonts w:asciiTheme="minorHAnsi" w:eastAsia="Times New Roman" w:hAnsiTheme="minorHAnsi"/>
          <w:i/>
          <w:iCs/>
          <w:sz w:val="20"/>
          <w:szCs w:val="20"/>
        </w:rPr>
        <w:t>matching principles</w:t>
      </w:r>
      <w:r w:rsidRPr="00FD1B4D">
        <w:rPr>
          <w:rFonts w:asciiTheme="minorHAnsi" w:eastAsia="Times New Roman" w:hAnsiTheme="minorHAnsi"/>
          <w:sz w:val="20"/>
          <w:szCs w:val="20"/>
        </w:rPr>
        <w:t xml:space="preserve">, the seller reports the expected warranty expense in the period when revenue from the sale of the product or service is reported. </w:t>
      </w:r>
    </w:p>
    <w:p w:rsidR="00C03065" w:rsidRPr="00FD1B4D" w:rsidRDefault="00C03065" w:rsidP="00FD1B4D">
      <w:pPr>
        <w:spacing w:before="100" w:beforeAutospacing="1" w:after="100" w:afterAutospacing="1" w:line="240" w:lineRule="auto"/>
        <w:jc w:val="both"/>
        <w:rPr>
          <w:rFonts w:asciiTheme="minorHAnsi" w:eastAsia="Times New Roman" w:hAnsiTheme="minorHAnsi"/>
          <w:sz w:val="20"/>
          <w:szCs w:val="20"/>
        </w:rPr>
      </w:pPr>
      <w:r w:rsidRPr="00FD1B4D">
        <w:rPr>
          <w:rFonts w:asciiTheme="minorHAnsi" w:eastAsia="Times New Roman" w:hAnsiTheme="minorHAnsi"/>
          <w:sz w:val="20"/>
          <w:szCs w:val="20"/>
        </w:rPr>
        <w:t>The seller reports this warranty obligation as a liability, although the existence, amount, payee, and date of future sacrifices are uncertain. This is because such warranty costs are probable and the amount can be estimated using, for instance, past experience with warranties.</w:t>
      </w:r>
    </w:p>
    <w:p w:rsidR="00C03065" w:rsidRPr="00FD1B4D" w:rsidRDefault="00C03065" w:rsidP="00FD1B4D">
      <w:pPr>
        <w:spacing w:before="100" w:beforeAutospacing="1" w:after="100" w:afterAutospacing="1" w:line="240" w:lineRule="auto"/>
        <w:jc w:val="both"/>
        <w:rPr>
          <w:rFonts w:asciiTheme="minorHAnsi" w:eastAsia="Times New Roman" w:hAnsiTheme="minorHAnsi"/>
          <w:sz w:val="20"/>
          <w:szCs w:val="20"/>
        </w:rPr>
      </w:pPr>
      <w:r w:rsidRPr="00FD1B4D">
        <w:rPr>
          <w:rFonts w:asciiTheme="minorHAnsi" w:eastAsia="Times New Roman" w:hAnsiTheme="minorHAnsi"/>
          <w:sz w:val="20"/>
          <w:szCs w:val="20"/>
        </w:rPr>
        <w:t xml:space="preserve">To illustrate, a dealer sells a used car </w:t>
      </w:r>
      <w:r w:rsidR="00456288">
        <w:rPr>
          <w:rFonts w:asciiTheme="minorHAnsi" w:eastAsia="Times New Roman" w:hAnsiTheme="minorHAnsi"/>
          <w:sz w:val="20"/>
          <w:szCs w:val="20"/>
        </w:rPr>
        <w:t>for $16,000 on December 1</w:t>
      </w:r>
      <w:r w:rsidRPr="00FD1B4D">
        <w:rPr>
          <w:rFonts w:asciiTheme="minorHAnsi" w:eastAsia="Times New Roman" w:hAnsiTheme="minorHAnsi"/>
          <w:sz w:val="20"/>
          <w:szCs w:val="20"/>
        </w:rPr>
        <w:t xml:space="preserve"> with a maximum one-year or 12,000-mile warranty covering parts. This </w:t>
      </w:r>
      <w:r w:rsidRPr="00FD1B4D">
        <w:rPr>
          <w:rFonts w:asciiTheme="minorHAnsi" w:eastAsia="Times New Roman" w:hAnsiTheme="minorHAnsi"/>
          <w:b/>
          <w:sz w:val="20"/>
          <w:szCs w:val="20"/>
        </w:rPr>
        <w:t>dealer's experience</w:t>
      </w:r>
      <w:r w:rsidRPr="00FD1B4D">
        <w:rPr>
          <w:rFonts w:asciiTheme="minorHAnsi" w:eastAsia="Times New Roman" w:hAnsiTheme="minorHAnsi"/>
          <w:sz w:val="20"/>
          <w:szCs w:val="20"/>
        </w:rPr>
        <w:t xml:space="preserve"> shows that warranty expense averages about 4% o</w:t>
      </w:r>
      <w:r w:rsidR="00456288">
        <w:rPr>
          <w:rFonts w:asciiTheme="minorHAnsi" w:eastAsia="Times New Roman" w:hAnsiTheme="minorHAnsi"/>
          <w:sz w:val="20"/>
          <w:szCs w:val="20"/>
        </w:rPr>
        <w:t xml:space="preserve">f a car's selling price for all </w:t>
      </w:r>
      <w:proofErr w:type="gramStart"/>
      <w:r w:rsidR="00456288">
        <w:rPr>
          <w:rFonts w:asciiTheme="minorHAnsi" w:eastAsia="Times New Roman" w:hAnsiTheme="minorHAnsi"/>
          <w:sz w:val="20"/>
          <w:szCs w:val="20"/>
        </w:rPr>
        <w:t>customers,</w:t>
      </w:r>
      <w:proofErr w:type="gramEnd"/>
      <w:r w:rsidR="00456288">
        <w:rPr>
          <w:rFonts w:asciiTheme="minorHAnsi" w:eastAsia="Times New Roman" w:hAnsiTheme="minorHAnsi"/>
          <w:sz w:val="20"/>
          <w:szCs w:val="20"/>
        </w:rPr>
        <w:t xml:space="preserve"> or $35,000 in this case</w:t>
      </w:r>
      <w:r w:rsidRPr="00FD1B4D">
        <w:rPr>
          <w:rFonts w:asciiTheme="minorHAnsi" w:eastAsia="Times New Roman" w:hAnsiTheme="minorHAnsi"/>
          <w:sz w:val="20"/>
          <w:szCs w:val="20"/>
        </w:rPr>
        <w:t>. The dealer records the estimated expense and liability related to this sale with this entry: </w:t>
      </w:r>
    </w:p>
    <w:p w:rsidR="00C03065" w:rsidRPr="00FD1B4D" w:rsidRDefault="00456288" w:rsidP="00FD1B4D">
      <w:pPr>
        <w:spacing w:after="0" w:line="240" w:lineRule="auto"/>
        <w:jc w:val="both"/>
        <w:rPr>
          <w:rFonts w:asciiTheme="minorHAnsi" w:eastAsia="Times New Roman" w:hAnsiTheme="minorHAnsi"/>
          <w:sz w:val="20"/>
          <w:szCs w:val="20"/>
        </w:rPr>
      </w:pPr>
      <w:r w:rsidRPr="00456288">
        <w:drawing>
          <wp:inline distT="0" distB="0" distL="0" distR="0">
            <wp:extent cx="2713355" cy="33274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13355" cy="332740"/>
                    </a:xfrm>
                    <a:prstGeom prst="rect">
                      <a:avLst/>
                    </a:prstGeom>
                    <a:noFill/>
                    <a:ln>
                      <a:noFill/>
                    </a:ln>
                  </pic:spPr>
                </pic:pic>
              </a:graphicData>
            </a:graphic>
          </wp:inline>
        </w:drawing>
      </w:r>
    </w:p>
    <w:p w:rsidR="00C03065" w:rsidRPr="00FD1B4D" w:rsidRDefault="00C03065" w:rsidP="00FD1B4D">
      <w:pPr>
        <w:spacing w:before="100" w:beforeAutospacing="1" w:after="100" w:afterAutospacing="1" w:line="240" w:lineRule="auto"/>
        <w:jc w:val="both"/>
        <w:rPr>
          <w:rFonts w:asciiTheme="minorHAnsi" w:eastAsia="Times New Roman" w:hAnsiTheme="minorHAnsi"/>
          <w:sz w:val="20"/>
          <w:szCs w:val="20"/>
        </w:rPr>
      </w:pPr>
      <w:r w:rsidRPr="00FD1B4D">
        <w:rPr>
          <w:rFonts w:asciiTheme="minorHAnsi" w:eastAsia="Times New Roman" w:hAnsiTheme="minorHAnsi"/>
          <w:sz w:val="20"/>
          <w:szCs w:val="20"/>
        </w:rPr>
        <w:t>To further e</w:t>
      </w:r>
      <w:r w:rsidR="00456288">
        <w:rPr>
          <w:rFonts w:asciiTheme="minorHAnsi" w:eastAsia="Times New Roman" w:hAnsiTheme="minorHAnsi"/>
          <w:sz w:val="20"/>
          <w:szCs w:val="20"/>
        </w:rPr>
        <w:t xml:space="preserve">xtend this example, suppose </w:t>
      </w:r>
      <w:r w:rsidRPr="00FD1B4D">
        <w:rPr>
          <w:rFonts w:asciiTheme="minorHAnsi" w:eastAsia="Times New Roman" w:hAnsiTheme="minorHAnsi"/>
          <w:sz w:val="20"/>
          <w:szCs w:val="20"/>
        </w:rPr>
        <w:t>customer</w:t>
      </w:r>
      <w:r w:rsidR="00456288">
        <w:rPr>
          <w:rFonts w:asciiTheme="minorHAnsi" w:eastAsia="Times New Roman" w:hAnsiTheme="minorHAnsi"/>
          <w:sz w:val="20"/>
          <w:szCs w:val="20"/>
        </w:rPr>
        <w:t>s return</w:t>
      </w:r>
      <w:r w:rsidRPr="00FD1B4D">
        <w:rPr>
          <w:rFonts w:asciiTheme="minorHAnsi" w:eastAsia="Times New Roman" w:hAnsiTheme="minorHAnsi"/>
          <w:sz w:val="20"/>
          <w:szCs w:val="20"/>
        </w:rPr>
        <w:t xml:space="preserve"> the car for war</w:t>
      </w:r>
      <w:r w:rsidR="00456288">
        <w:rPr>
          <w:rFonts w:asciiTheme="minorHAnsi" w:eastAsia="Times New Roman" w:hAnsiTheme="minorHAnsi"/>
          <w:sz w:val="20"/>
          <w:szCs w:val="20"/>
        </w:rPr>
        <w:t>ranty repairs on January 9</w:t>
      </w:r>
      <w:r w:rsidRPr="00FD1B4D">
        <w:rPr>
          <w:rFonts w:asciiTheme="minorHAnsi" w:eastAsia="Times New Roman" w:hAnsiTheme="minorHAnsi"/>
          <w:sz w:val="20"/>
          <w:szCs w:val="20"/>
        </w:rPr>
        <w:t>. The dealer performs this wo</w:t>
      </w:r>
      <w:r w:rsidR="00456288">
        <w:rPr>
          <w:rFonts w:asciiTheme="minorHAnsi" w:eastAsia="Times New Roman" w:hAnsiTheme="minorHAnsi"/>
          <w:sz w:val="20"/>
          <w:szCs w:val="20"/>
        </w:rPr>
        <w:t>rk by replacing parts costing $10,0</w:t>
      </w:r>
      <w:r w:rsidRPr="00FD1B4D">
        <w:rPr>
          <w:rFonts w:asciiTheme="minorHAnsi" w:eastAsia="Times New Roman" w:hAnsiTheme="minorHAnsi"/>
          <w:sz w:val="20"/>
          <w:szCs w:val="20"/>
        </w:rPr>
        <w:t>00. The entry to record partial settlement of the estimated warranty liability is</w:t>
      </w:r>
    </w:p>
    <w:p w:rsidR="00C03065" w:rsidRPr="00FD1B4D" w:rsidRDefault="00456288" w:rsidP="00FD1B4D">
      <w:pPr>
        <w:spacing w:after="0" w:line="240" w:lineRule="auto"/>
        <w:jc w:val="both"/>
        <w:rPr>
          <w:rFonts w:asciiTheme="minorHAnsi" w:eastAsia="Times New Roman" w:hAnsiTheme="minorHAnsi"/>
          <w:sz w:val="20"/>
          <w:szCs w:val="20"/>
        </w:rPr>
      </w:pPr>
      <w:r w:rsidRPr="00456288">
        <w:drawing>
          <wp:inline distT="0" distB="0" distL="0" distR="0">
            <wp:extent cx="2713355" cy="33274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13355" cy="332740"/>
                    </a:xfrm>
                    <a:prstGeom prst="rect">
                      <a:avLst/>
                    </a:prstGeom>
                    <a:noFill/>
                    <a:ln>
                      <a:noFill/>
                    </a:ln>
                  </pic:spPr>
                </pic:pic>
              </a:graphicData>
            </a:graphic>
          </wp:inline>
        </w:drawing>
      </w:r>
    </w:p>
    <w:p w:rsidR="00C03065" w:rsidRPr="00FD1B4D" w:rsidRDefault="00C03065" w:rsidP="00FD1B4D">
      <w:pPr>
        <w:spacing w:before="100" w:beforeAutospacing="1" w:after="100" w:afterAutospacing="1" w:line="240" w:lineRule="auto"/>
        <w:jc w:val="both"/>
        <w:rPr>
          <w:rFonts w:asciiTheme="minorHAnsi" w:eastAsia="Times New Roman" w:hAnsiTheme="minorHAnsi"/>
          <w:sz w:val="20"/>
          <w:szCs w:val="20"/>
        </w:rPr>
      </w:pPr>
      <w:r w:rsidRPr="00FD1B4D">
        <w:rPr>
          <w:rFonts w:asciiTheme="minorHAnsi" w:eastAsia="Times New Roman" w:hAnsiTheme="minorHAnsi"/>
          <w:sz w:val="20"/>
          <w:szCs w:val="20"/>
        </w:rPr>
        <w:t xml:space="preserve">This entry reduces the balance of the estimated warranty liability. </w:t>
      </w:r>
      <w:r w:rsidRPr="00FD1B4D">
        <w:rPr>
          <w:rFonts w:asciiTheme="minorHAnsi" w:eastAsia="Times New Roman" w:hAnsiTheme="minorHAnsi"/>
          <w:b/>
          <w:sz w:val="20"/>
          <w:szCs w:val="20"/>
        </w:rPr>
        <w:t>Warranty expense</w:t>
      </w:r>
      <w:r w:rsidR="00456288">
        <w:rPr>
          <w:rFonts w:asciiTheme="minorHAnsi" w:eastAsia="Times New Roman" w:hAnsiTheme="minorHAnsi"/>
          <w:sz w:val="20"/>
          <w:szCs w:val="20"/>
        </w:rPr>
        <w:t xml:space="preserve"> was previously recorded in the prior year to match against the revenues--</w:t>
      </w:r>
      <w:r w:rsidRPr="00FD1B4D">
        <w:rPr>
          <w:rFonts w:asciiTheme="minorHAnsi" w:eastAsia="Times New Roman" w:hAnsiTheme="minorHAnsi"/>
          <w:sz w:val="20"/>
          <w:szCs w:val="20"/>
        </w:rPr>
        <w:t xml:space="preserve">the year the car was sold with the warranty.   Note the credit is to auto parts inventory.  </w:t>
      </w:r>
      <w:r w:rsidRPr="00FD1B4D">
        <w:rPr>
          <w:rFonts w:asciiTheme="minorHAnsi" w:eastAsia="Times New Roman" w:hAnsiTheme="minorHAnsi"/>
          <w:b/>
          <w:sz w:val="20"/>
          <w:szCs w:val="20"/>
        </w:rPr>
        <w:t xml:space="preserve">The expense is only recorded in the period when the product is sold.  </w:t>
      </w:r>
    </w:p>
    <w:p w:rsidR="00C03065" w:rsidRPr="00FD1B4D" w:rsidRDefault="00C03065" w:rsidP="00FD1B4D">
      <w:pPr>
        <w:spacing w:before="100" w:beforeAutospacing="1" w:after="100" w:afterAutospacing="1" w:line="240" w:lineRule="auto"/>
        <w:jc w:val="both"/>
        <w:rPr>
          <w:rFonts w:asciiTheme="minorHAnsi" w:eastAsia="Times New Roman" w:hAnsiTheme="minorHAnsi"/>
          <w:sz w:val="20"/>
          <w:szCs w:val="20"/>
        </w:rPr>
      </w:pPr>
      <w:r w:rsidRPr="00FD1B4D">
        <w:rPr>
          <w:rFonts w:asciiTheme="minorHAnsi" w:eastAsia="Times New Roman" w:hAnsiTheme="minorHAnsi"/>
          <w:sz w:val="20"/>
          <w:szCs w:val="20"/>
        </w:rPr>
        <w:t>Finally, what happens if total warranty expenses are more or les</w:t>
      </w:r>
      <w:r w:rsidR="00456288">
        <w:rPr>
          <w:rFonts w:asciiTheme="minorHAnsi" w:eastAsia="Times New Roman" w:hAnsiTheme="minorHAnsi"/>
          <w:sz w:val="20"/>
          <w:szCs w:val="20"/>
        </w:rPr>
        <w:t>s than the estimated 4%</w:t>
      </w:r>
      <w:r w:rsidRPr="00FD1B4D">
        <w:rPr>
          <w:rFonts w:asciiTheme="minorHAnsi" w:eastAsia="Times New Roman" w:hAnsiTheme="minorHAnsi"/>
          <w:sz w:val="20"/>
          <w:szCs w:val="20"/>
        </w:rPr>
        <w:t>? The answer is that management should monitor actual warranty expenses to see whether the 4% rate is accurate. If experience reveals a large difference from the estimate, the rate for current and future sales should be changed. Differences are expected, but they should be small.</w:t>
      </w:r>
    </w:p>
    <w:p w:rsidR="001E15BF" w:rsidRPr="00FD1B4D" w:rsidRDefault="001E15BF" w:rsidP="00FD1B4D">
      <w:pPr>
        <w:jc w:val="both"/>
        <w:rPr>
          <w:rFonts w:asciiTheme="minorHAnsi" w:eastAsia="Times New Roman" w:hAnsiTheme="minorHAnsi"/>
          <w:sz w:val="20"/>
          <w:szCs w:val="20"/>
        </w:rPr>
      </w:pPr>
    </w:p>
    <w:p w:rsidR="00456288" w:rsidRDefault="00456288">
      <w:pPr>
        <w:rPr>
          <w:rStyle w:val="sectitle"/>
          <w:rFonts w:asciiTheme="minorHAnsi" w:hAnsiTheme="minorHAnsi"/>
          <w:b/>
          <w:sz w:val="20"/>
          <w:szCs w:val="20"/>
        </w:rPr>
      </w:pPr>
      <w:r>
        <w:rPr>
          <w:rStyle w:val="sectitle"/>
          <w:rFonts w:asciiTheme="minorHAnsi" w:hAnsiTheme="minorHAnsi"/>
          <w:b/>
          <w:sz w:val="20"/>
          <w:szCs w:val="20"/>
        </w:rPr>
        <w:br w:type="page"/>
      </w:r>
    </w:p>
    <w:p w:rsidR="00E77BB3" w:rsidRPr="00FD1B4D" w:rsidRDefault="00C03065" w:rsidP="00FD1B4D">
      <w:pPr>
        <w:jc w:val="both"/>
        <w:rPr>
          <w:rStyle w:val="sectitle"/>
          <w:rFonts w:asciiTheme="minorHAnsi" w:hAnsiTheme="minorHAnsi"/>
          <w:sz w:val="20"/>
          <w:szCs w:val="20"/>
        </w:rPr>
      </w:pPr>
      <w:r w:rsidRPr="00FD1B4D">
        <w:rPr>
          <w:rStyle w:val="sectitle"/>
          <w:rFonts w:asciiTheme="minorHAnsi" w:hAnsiTheme="minorHAnsi"/>
          <w:b/>
          <w:sz w:val="20"/>
          <w:szCs w:val="20"/>
        </w:rPr>
        <w:lastRenderedPageBreak/>
        <w:t>CONTINGENT LIABILITIES</w:t>
      </w:r>
    </w:p>
    <w:p w:rsidR="00C03065" w:rsidRPr="00FD1B4D" w:rsidRDefault="00C03065" w:rsidP="00FD1B4D">
      <w:pPr>
        <w:spacing w:before="100" w:beforeAutospacing="1" w:after="100" w:afterAutospacing="1" w:line="240" w:lineRule="auto"/>
        <w:jc w:val="both"/>
        <w:rPr>
          <w:rFonts w:asciiTheme="minorHAnsi" w:eastAsia="Times New Roman" w:hAnsiTheme="minorHAnsi"/>
          <w:sz w:val="20"/>
          <w:szCs w:val="20"/>
        </w:rPr>
      </w:pPr>
      <w:r w:rsidRPr="00FD1B4D">
        <w:rPr>
          <w:rFonts w:asciiTheme="minorHAnsi" w:eastAsia="Times New Roman" w:hAnsiTheme="minorHAnsi"/>
          <w:sz w:val="20"/>
          <w:szCs w:val="20"/>
        </w:rPr>
        <w:t xml:space="preserve">A </w:t>
      </w:r>
      <w:r w:rsidRPr="00FD1B4D">
        <w:rPr>
          <w:rFonts w:asciiTheme="minorHAnsi" w:eastAsia="Times New Roman" w:hAnsiTheme="minorHAnsi"/>
          <w:b/>
          <w:bCs/>
          <w:sz w:val="20"/>
          <w:szCs w:val="20"/>
        </w:rPr>
        <w:t>contingent liability</w:t>
      </w:r>
      <w:r w:rsidRPr="00FD1B4D">
        <w:rPr>
          <w:rFonts w:asciiTheme="minorHAnsi" w:eastAsia="Times New Roman" w:hAnsiTheme="minorHAnsi"/>
          <w:sz w:val="20"/>
          <w:szCs w:val="20"/>
        </w:rPr>
        <w:t xml:space="preserve"> is a potential obligation that depends on a future event arising from a past transaction or event. An example is a pending lawsuit. Here, a past transaction or event leads to a lawsuit whose result depends on the outcome of the suit. Future payment of a contingent liability depends on whether an uncertain future event occurs.</w:t>
      </w:r>
    </w:p>
    <w:p w:rsidR="00C03065" w:rsidRPr="00FD1B4D" w:rsidRDefault="00C03065" w:rsidP="00FD1B4D">
      <w:pPr>
        <w:spacing w:after="0" w:line="240" w:lineRule="auto"/>
        <w:jc w:val="both"/>
        <w:rPr>
          <w:rFonts w:asciiTheme="minorHAnsi" w:eastAsia="Times New Roman" w:hAnsiTheme="minorHAnsi"/>
          <w:b/>
          <w:sz w:val="20"/>
          <w:szCs w:val="20"/>
        </w:rPr>
      </w:pPr>
      <w:r w:rsidRPr="00FD1B4D">
        <w:rPr>
          <w:rFonts w:asciiTheme="minorHAnsi" w:eastAsia="Times New Roman" w:hAnsiTheme="minorHAnsi"/>
          <w:b/>
          <w:sz w:val="20"/>
          <w:szCs w:val="20"/>
        </w:rPr>
        <w:t xml:space="preserve">Accounting for Contingent Liabilities </w:t>
      </w:r>
    </w:p>
    <w:p w:rsidR="00C03065" w:rsidRPr="00FD1B4D" w:rsidRDefault="00C03065" w:rsidP="00FD1B4D">
      <w:pPr>
        <w:spacing w:before="100" w:beforeAutospacing="1" w:after="100" w:afterAutospacing="1" w:line="240" w:lineRule="auto"/>
        <w:jc w:val="both"/>
        <w:rPr>
          <w:rFonts w:asciiTheme="minorHAnsi" w:eastAsia="Times New Roman" w:hAnsiTheme="minorHAnsi"/>
          <w:sz w:val="20"/>
          <w:szCs w:val="20"/>
        </w:rPr>
      </w:pPr>
      <w:r w:rsidRPr="00FD1B4D">
        <w:rPr>
          <w:rFonts w:asciiTheme="minorHAnsi" w:eastAsia="Times New Roman" w:hAnsiTheme="minorHAnsi"/>
          <w:sz w:val="20"/>
          <w:szCs w:val="20"/>
        </w:rPr>
        <w:t xml:space="preserve">Accounting for contingent liabilities depends on the </w:t>
      </w:r>
      <w:r w:rsidRPr="00FD1B4D">
        <w:rPr>
          <w:rFonts w:asciiTheme="minorHAnsi" w:eastAsia="Times New Roman" w:hAnsiTheme="minorHAnsi"/>
          <w:b/>
          <w:sz w:val="20"/>
          <w:szCs w:val="20"/>
        </w:rPr>
        <w:t>likelihood that a future event will occur</w:t>
      </w:r>
      <w:r w:rsidRPr="00FD1B4D">
        <w:rPr>
          <w:rFonts w:asciiTheme="minorHAnsi" w:eastAsia="Times New Roman" w:hAnsiTheme="minorHAnsi"/>
          <w:sz w:val="20"/>
          <w:szCs w:val="20"/>
        </w:rPr>
        <w:t xml:space="preserve"> and the ability to estimate the future amount owed if this event occurs. </w:t>
      </w:r>
    </w:p>
    <w:p w:rsidR="00C03065" w:rsidRPr="00FD1B4D" w:rsidRDefault="00C03065" w:rsidP="00FD1B4D">
      <w:pPr>
        <w:spacing w:before="100" w:beforeAutospacing="1" w:after="100" w:afterAutospacing="1" w:line="240" w:lineRule="auto"/>
        <w:jc w:val="both"/>
        <w:rPr>
          <w:rFonts w:asciiTheme="minorHAnsi" w:eastAsia="Times New Roman" w:hAnsiTheme="minorHAnsi"/>
          <w:sz w:val="20"/>
          <w:szCs w:val="20"/>
        </w:rPr>
      </w:pPr>
      <w:r w:rsidRPr="00FD1B4D">
        <w:rPr>
          <w:rFonts w:asciiTheme="minorHAnsi" w:eastAsia="Times New Roman" w:hAnsiTheme="minorHAnsi"/>
          <w:sz w:val="20"/>
          <w:szCs w:val="20"/>
        </w:rPr>
        <w:t>Three different possibilities are identified in the following chart: record liability, disclose in notes, or no disclosure.</w:t>
      </w:r>
    </w:p>
    <w:p w:rsidR="00C03065" w:rsidRPr="00FD1B4D" w:rsidRDefault="00521487" w:rsidP="00FD1B4D">
      <w:pPr>
        <w:spacing w:after="0" w:line="240" w:lineRule="auto"/>
        <w:jc w:val="both"/>
        <w:rPr>
          <w:rFonts w:asciiTheme="minorHAnsi" w:eastAsia="Times New Roman" w:hAnsiTheme="minorHAnsi"/>
          <w:sz w:val="20"/>
          <w:szCs w:val="20"/>
        </w:rPr>
      </w:pPr>
      <w:r>
        <w:rPr>
          <w:rFonts w:asciiTheme="minorHAnsi" w:eastAsia="Times New Roman" w:hAnsiTheme="minorHAnsi"/>
          <w:noProof/>
          <w:sz w:val="20"/>
          <w:szCs w:val="20"/>
        </w:rPr>
        <w:drawing>
          <wp:inline distT="0" distB="0" distL="0" distR="0" wp14:anchorId="5BC61EB4">
            <wp:extent cx="5885204" cy="1056904"/>
            <wp:effectExtent l="0" t="0" r="127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892743" cy="1058258"/>
                    </a:xfrm>
                    <a:prstGeom prst="rect">
                      <a:avLst/>
                    </a:prstGeom>
                    <a:noFill/>
                  </pic:spPr>
                </pic:pic>
              </a:graphicData>
            </a:graphic>
          </wp:inline>
        </w:drawing>
      </w:r>
    </w:p>
    <w:p w:rsidR="00521487" w:rsidRDefault="00521487" w:rsidP="00521487">
      <w:pPr>
        <w:jc w:val="both"/>
        <w:rPr>
          <w:rFonts w:asciiTheme="minorHAnsi" w:eastAsia="Times New Roman" w:hAnsiTheme="minorHAnsi"/>
          <w:b/>
          <w:sz w:val="20"/>
          <w:szCs w:val="20"/>
        </w:rPr>
      </w:pPr>
    </w:p>
    <w:p w:rsidR="00521487" w:rsidRDefault="00C03065" w:rsidP="00521487">
      <w:pPr>
        <w:jc w:val="both"/>
        <w:rPr>
          <w:rFonts w:asciiTheme="minorHAnsi" w:eastAsia="Times New Roman" w:hAnsiTheme="minorHAnsi"/>
          <w:b/>
          <w:sz w:val="20"/>
          <w:szCs w:val="20"/>
        </w:rPr>
      </w:pPr>
      <w:r w:rsidRPr="00FD1B4D">
        <w:rPr>
          <w:rFonts w:asciiTheme="minorHAnsi" w:eastAsia="Times New Roman" w:hAnsiTheme="minorHAnsi"/>
          <w:b/>
          <w:sz w:val="20"/>
          <w:szCs w:val="20"/>
        </w:rPr>
        <w:t xml:space="preserve">Reasonably Possible Contingent Liabilities </w:t>
      </w:r>
    </w:p>
    <w:p w:rsidR="00C03065" w:rsidRPr="00521487" w:rsidRDefault="00521487" w:rsidP="00521487">
      <w:pPr>
        <w:jc w:val="both"/>
        <w:rPr>
          <w:rFonts w:asciiTheme="minorHAnsi" w:eastAsia="Times New Roman" w:hAnsiTheme="minorHAnsi"/>
          <w:b/>
          <w:sz w:val="20"/>
          <w:szCs w:val="20"/>
        </w:rPr>
      </w:pPr>
      <w:r>
        <w:rPr>
          <w:rFonts w:asciiTheme="minorHAnsi" w:eastAsia="Times New Roman" w:hAnsiTheme="minorHAnsi"/>
          <w:sz w:val="20"/>
          <w:szCs w:val="20"/>
        </w:rPr>
        <w:t>W</w:t>
      </w:r>
      <w:r w:rsidR="00C03065" w:rsidRPr="00FD1B4D">
        <w:rPr>
          <w:rFonts w:asciiTheme="minorHAnsi" w:eastAsia="Times New Roman" w:hAnsiTheme="minorHAnsi"/>
          <w:sz w:val="20"/>
          <w:szCs w:val="20"/>
        </w:rPr>
        <w:t>hen the future</w:t>
      </w:r>
      <w:r>
        <w:rPr>
          <w:rFonts w:asciiTheme="minorHAnsi" w:eastAsia="Times New Roman" w:hAnsiTheme="minorHAnsi"/>
          <w:sz w:val="20"/>
          <w:szCs w:val="20"/>
        </w:rPr>
        <w:t xml:space="preserve"> event is reasonably possible d</w:t>
      </w:r>
      <w:r w:rsidR="00C03065" w:rsidRPr="00FD1B4D">
        <w:rPr>
          <w:rFonts w:asciiTheme="minorHAnsi" w:eastAsia="Times New Roman" w:hAnsiTheme="minorHAnsi"/>
          <w:sz w:val="20"/>
          <w:szCs w:val="20"/>
        </w:rPr>
        <w:t xml:space="preserve">isclosing information about contingencies in this category is motivated by the </w:t>
      </w:r>
      <w:r w:rsidR="00C03065" w:rsidRPr="00FD1B4D">
        <w:rPr>
          <w:rFonts w:asciiTheme="minorHAnsi" w:eastAsia="Times New Roman" w:hAnsiTheme="minorHAnsi"/>
          <w:i/>
          <w:iCs/>
          <w:sz w:val="20"/>
          <w:szCs w:val="20"/>
        </w:rPr>
        <w:t>full-disclosure principle</w:t>
      </w:r>
      <w:r w:rsidR="00C03065" w:rsidRPr="00FD1B4D">
        <w:rPr>
          <w:rFonts w:asciiTheme="minorHAnsi" w:eastAsia="Times New Roman" w:hAnsiTheme="minorHAnsi"/>
          <w:sz w:val="20"/>
          <w:szCs w:val="20"/>
        </w:rPr>
        <w:t>, which requires information relevant to decision makers be reported and not ignored.</w:t>
      </w:r>
    </w:p>
    <w:p w:rsidR="00C03065" w:rsidRPr="00FD1B4D" w:rsidRDefault="00C03065" w:rsidP="00FD1B4D">
      <w:pPr>
        <w:spacing w:before="100" w:beforeAutospacing="1" w:after="100" w:afterAutospacing="1" w:line="240" w:lineRule="auto"/>
        <w:jc w:val="both"/>
        <w:rPr>
          <w:rFonts w:asciiTheme="minorHAnsi" w:eastAsia="Times New Roman" w:hAnsiTheme="minorHAnsi"/>
          <w:b/>
          <w:sz w:val="20"/>
          <w:szCs w:val="20"/>
        </w:rPr>
      </w:pPr>
      <w:r w:rsidRPr="00FD1B4D">
        <w:rPr>
          <w:rFonts w:asciiTheme="minorHAnsi" w:eastAsia="Times New Roman" w:hAnsiTheme="minorHAnsi"/>
          <w:b/>
          <w:sz w:val="20"/>
          <w:szCs w:val="20"/>
        </w:rPr>
        <w:t xml:space="preserve">Potential Legal Claims </w:t>
      </w:r>
    </w:p>
    <w:p w:rsidR="004A24BF" w:rsidRPr="00FD1B4D" w:rsidRDefault="00C03065" w:rsidP="00FD1B4D">
      <w:pPr>
        <w:spacing w:before="100" w:beforeAutospacing="1" w:after="100" w:afterAutospacing="1" w:line="240" w:lineRule="auto"/>
        <w:jc w:val="both"/>
        <w:rPr>
          <w:rFonts w:asciiTheme="minorHAnsi" w:eastAsia="Times New Roman" w:hAnsiTheme="minorHAnsi"/>
          <w:sz w:val="20"/>
          <w:szCs w:val="20"/>
        </w:rPr>
      </w:pPr>
      <w:r w:rsidRPr="00FD1B4D">
        <w:rPr>
          <w:rFonts w:asciiTheme="minorHAnsi" w:eastAsia="Times New Roman" w:hAnsiTheme="minorHAnsi"/>
          <w:sz w:val="20"/>
          <w:szCs w:val="20"/>
        </w:rPr>
        <w:t xml:space="preserve">Many companies are sued or at risk of being sued. The accounting issue is whether the defendant should recognize a liability on its balance sheet or disclose a contingent liability in its notes while a lawsuit is outstanding and not yet settled. </w:t>
      </w:r>
    </w:p>
    <w:p w:rsidR="004A24BF" w:rsidRPr="00FD1B4D" w:rsidRDefault="00C03065" w:rsidP="00FD1B4D">
      <w:pPr>
        <w:spacing w:before="100" w:beforeAutospacing="1" w:after="100" w:afterAutospacing="1" w:line="240" w:lineRule="auto"/>
        <w:jc w:val="both"/>
        <w:rPr>
          <w:rFonts w:asciiTheme="minorHAnsi" w:eastAsia="Times New Roman" w:hAnsiTheme="minorHAnsi"/>
          <w:sz w:val="20"/>
          <w:szCs w:val="20"/>
        </w:rPr>
      </w:pPr>
      <w:r w:rsidRPr="00FD1B4D">
        <w:rPr>
          <w:rFonts w:asciiTheme="minorHAnsi" w:eastAsia="Times New Roman" w:hAnsiTheme="minorHAnsi"/>
          <w:sz w:val="20"/>
          <w:szCs w:val="20"/>
        </w:rPr>
        <w:t xml:space="preserve">The answer is that a potential claim is recorded in the accounts </w:t>
      </w:r>
      <w:r w:rsidRPr="00FD1B4D">
        <w:rPr>
          <w:rFonts w:asciiTheme="minorHAnsi" w:eastAsia="Times New Roman" w:hAnsiTheme="minorHAnsi"/>
          <w:i/>
          <w:iCs/>
          <w:sz w:val="20"/>
          <w:szCs w:val="20"/>
        </w:rPr>
        <w:t>only</w:t>
      </w:r>
      <w:r w:rsidRPr="00FD1B4D">
        <w:rPr>
          <w:rFonts w:asciiTheme="minorHAnsi" w:eastAsia="Times New Roman" w:hAnsiTheme="minorHAnsi"/>
          <w:sz w:val="20"/>
          <w:szCs w:val="20"/>
        </w:rPr>
        <w:t xml:space="preserve"> if payment for damages is probable and the amount can be reasonably estimated. </w:t>
      </w:r>
    </w:p>
    <w:p w:rsidR="004A24BF" w:rsidRPr="00FD1B4D" w:rsidRDefault="00C03065" w:rsidP="00FD1B4D">
      <w:pPr>
        <w:spacing w:before="100" w:beforeAutospacing="1" w:after="100" w:afterAutospacing="1" w:line="240" w:lineRule="auto"/>
        <w:jc w:val="both"/>
        <w:rPr>
          <w:rFonts w:asciiTheme="minorHAnsi" w:eastAsia="Times New Roman" w:hAnsiTheme="minorHAnsi"/>
          <w:b/>
          <w:sz w:val="20"/>
          <w:szCs w:val="20"/>
        </w:rPr>
      </w:pPr>
      <w:r w:rsidRPr="00FD1B4D">
        <w:rPr>
          <w:rFonts w:asciiTheme="minorHAnsi" w:eastAsia="Times New Roman" w:hAnsiTheme="minorHAnsi"/>
          <w:b/>
          <w:sz w:val="20"/>
          <w:szCs w:val="20"/>
        </w:rPr>
        <w:t xml:space="preserve">Debt Guarantees </w:t>
      </w:r>
    </w:p>
    <w:p w:rsidR="00C03065" w:rsidRPr="00FD1B4D" w:rsidRDefault="00C03065" w:rsidP="00FD1B4D">
      <w:pPr>
        <w:spacing w:before="100" w:beforeAutospacing="1" w:after="100" w:afterAutospacing="1" w:line="240" w:lineRule="auto"/>
        <w:jc w:val="both"/>
        <w:rPr>
          <w:rFonts w:asciiTheme="minorHAnsi" w:eastAsia="Times New Roman" w:hAnsiTheme="minorHAnsi"/>
          <w:sz w:val="20"/>
          <w:szCs w:val="20"/>
        </w:rPr>
      </w:pPr>
      <w:r w:rsidRPr="00FD1B4D">
        <w:rPr>
          <w:rFonts w:asciiTheme="minorHAnsi" w:eastAsia="Times New Roman" w:hAnsiTheme="minorHAnsi"/>
          <w:sz w:val="20"/>
          <w:szCs w:val="20"/>
        </w:rPr>
        <w:t xml:space="preserve">Sometimes a company guarantees the payment of debt owed by a supplier, customer, or another company. The guarantor usually discloses the guarantee in its financial statement notes as a contingent liability. If it is probable that the debtor will default, the guarantor needs to record and report the guarantee in its financial statements as a liability. The </w:t>
      </w:r>
      <w:r w:rsidR="00521487">
        <w:rPr>
          <w:rFonts w:asciiTheme="minorHAnsi" w:eastAsia="Times New Roman" w:hAnsiTheme="minorHAnsi"/>
          <w:b/>
          <w:bCs/>
          <w:sz w:val="20"/>
          <w:szCs w:val="20"/>
        </w:rPr>
        <w:t>San Antonio Spurs</w:t>
      </w:r>
      <w:r w:rsidRPr="00FD1B4D">
        <w:rPr>
          <w:rFonts w:asciiTheme="minorHAnsi" w:eastAsia="Times New Roman" w:hAnsiTheme="minorHAnsi"/>
          <w:sz w:val="20"/>
          <w:szCs w:val="20"/>
        </w:rPr>
        <w:t xml:space="preserve"> report a unique guarantee when it comes to coaches and players: “Certain of the contracts provide for guaranteed payments which must be paid even if the employee [player] is injured or terminated.”</w:t>
      </w:r>
    </w:p>
    <w:p w:rsidR="00521487" w:rsidRDefault="00521487">
      <w:pPr>
        <w:rPr>
          <w:rFonts w:asciiTheme="minorHAnsi" w:eastAsia="Times New Roman" w:hAnsiTheme="minorHAnsi"/>
          <w:b/>
          <w:sz w:val="20"/>
          <w:szCs w:val="20"/>
        </w:rPr>
      </w:pPr>
      <w:r>
        <w:rPr>
          <w:rFonts w:asciiTheme="minorHAnsi" w:eastAsia="Times New Roman" w:hAnsiTheme="minorHAnsi"/>
          <w:b/>
          <w:sz w:val="20"/>
          <w:szCs w:val="20"/>
        </w:rPr>
        <w:br w:type="page"/>
      </w:r>
    </w:p>
    <w:p w:rsidR="004A24BF" w:rsidRPr="00FD1B4D" w:rsidRDefault="00C03065" w:rsidP="00FD1B4D">
      <w:pPr>
        <w:spacing w:before="100" w:beforeAutospacing="1" w:after="100" w:afterAutospacing="1" w:line="240" w:lineRule="auto"/>
        <w:jc w:val="both"/>
        <w:rPr>
          <w:rFonts w:asciiTheme="minorHAnsi" w:eastAsia="Times New Roman" w:hAnsiTheme="minorHAnsi"/>
          <w:b/>
          <w:sz w:val="20"/>
          <w:szCs w:val="20"/>
        </w:rPr>
      </w:pPr>
      <w:r w:rsidRPr="00FD1B4D">
        <w:rPr>
          <w:rFonts w:asciiTheme="minorHAnsi" w:eastAsia="Times New Roman" w:hAnsiTheme="minorHAnsi"/>
          <w:b/>
          <w:sz w:val="20"/>
          <w:szCs w:val="20"/>
        </w:rPr>
        <w:lastRenderedPageBreak/>
        <w:t xml:space="preserve">Other Contingencies </w:t>
      </w:r>
    </w:p>
    <w:p w:rsidR="00C03065" w:rsidRPr="00FD1B4D" w:rsidRDefault="00C03065" w:rsidP="00FD1B4D">
      <w:pPr>
        <w:spacing w:before="100" w:beforeAutospacing="1" w:after="100" w:afterAutospacing="1" w:line="240" w:lineRule="auto"/>
        <w:jc w:val="both"/>
        <w:rPr>
          <w:rFonts w:asciiTheme="minorHAnsi" w:eastAsia="Times New Roman" w:hAnsiTheme="minorHAnsi"/>
          <w:sz w:val="20"/>
          <w:szCs w:val="20"/>
        </w:rPr>
      </w:pPr>
      <w:r w:rsidRPr="00FD1B4D">
        <w:rPr>
          <w:rFonts w:asciiTheme="minorHAnsi" w:eastAsia="Times New Roman" w:hAnsiTheme="minorHAnsi"/>
          <w:sz w:val="20"/>
          <w:szCs w:val="20"/>
        </w:rPr>
        <w:t xml:space="preserve">Other examples of contingencies include environmental damages, possible tax assessments, insurance losses, and government investigations. </w:t>
      </w:r>
    </w:p>
    <w:p w:rsidR="00C03065" w:rsidRPr="00FD1B4D" w:rsidRDefault="00C03065" w:rsidP="00FD1B4D">
      <w:pPr>
        <w:spacing w:after="0" w:line="240" w:lineRule="auto"/>
        <w:jc w:val="both"/>
        <w:rPr>
          <w:rFonts w:asciiTheme="minorHAnsi" w:eastAsia="Times New Roman" w:hAnsiTheme="minorHAnsi"/>
          <w:b/>
          <w:sz w:val="20"/>
          <w:szCs w:val="20"/>
        </w:rPr>
      </w:pPr>
      <w:r w:rsidRPr="00FD1B4D">
        <w:rPr>
          <w:rFonts w:asciiTheme="minorHAnsi" w:eastAsia="Times New Roman" w:hAnsiTheme="minorHAnsi"/>
          <w:b/>
          <w:sz w:val="20"/>
          <w:szCs w:val="20"/>
        </w:rPr>
        <w:t xml:space="preserve">Uncertainties That Are Not Contingencies </w:t>
      </w:r>
    </w:p>
    <w:p w:rsidR="001E15BF" w:rsidRPr="00FD1B4D" w:rsidRDefault="00C03065" w:rsidP="00521487">
      <w:pPr>
        <w:spacing w:before="100" w:beforeAutospacing="1" w:after="100" w:afterAutospacing="1" w:line="240" w:lineRule="auto"/>
        <w:jc w:val="both"/>
        <w:rPr>
          <w:rFonts w:asciiTheme="minorHAnsi" w:eastAsia="Times New Roman" w:hAnsiTheme="minorHAnsi"/>
          <w:sz w:val="20"/>
          <w:szCs w:val="20"/>
        </w:rPr>
      </w:pPr>
      <w:r w:rsidRPr="00FD1B4D">
        <w:rPr>
          <w:rFonts w:asciiTheme="minorHAnsi" w:eastAsia="Times New Roman" w:hAnsiTheme="minorHAnsi"/>
          <w:sz w:val="20"/>
          <w:szCs w:val="20"/>
        </w:rPr>
        <w:t xml:space="preserve">All organizations face uncertainties from future events such as natural disasters and the development of new competing products or services. These uncertainties are not contingent liabilities because they are future events </w:t>
      </w:r>
      <w:r w:rsidRPr="00FD1B4D">
        <w:rPr>
          <w:rFonts w:asciiTheme="minorHAnsi" w:eastAsia="Times New Roman" w:hAnsiTheme="minorHAnsi"/>
          <w:i/>
          <w:iCs/>
          <w:sz w:val="20"/>
          <w:szCs w:val="20"/>
        </w:rPr>
        <w:t>not</w:t>
      </w:r>
      <w:r w:rsidRPr="00FD1B4D">
        <w:rPr>
          <w:rFonts w:asciiTheme="minorHAnsi" w:eastAsia="Times New Roman" w:hAnsiTheme="minorHAnsi"/>
          <w:sz w:val="20"/>
          <w:szCs w:val="20"/>
        </w:rPr>
        <w:t xml:space="preserve"> arising from past transactions. Accordingly, they are not disclosed</w:t>
      </w:r>
      <w:r w:rsidR="00521487">
        <w:rPr>
          <w:rFonts w:asciiTheme="minorHAnsi" w:eastAsia="Times New Roman" w:hAnsiTheme="minorHAnsi"/>
          <w:sz w:val="20"/>
          <w:szCs w:val="20"/>
        </w:rPr>
        <w:t>.</w:t>
      </w:r>
      <w:bookmarkStart w:id="0" w:name="_GoBack"/>
      <w:bookmarkEnd w:id="0"/>
    </w:p>
    <w:p w:rsidR="007048B8" w:rsidRPr="00FD1B4D" w:rsidRDefault="007048B8" w:rsidP="00FD1B4D">
      <w:pPr>
        <w:jc w:val="both"/>
        <w:rPr>
          <w:rFonts w:asciiTheme="minorHAnsi" w:hAnsiTheme="minorHAnsi"/>
          <w:b/>
          <w:sz w:val="20"/>
          <w:szCs w:val="20"/>
        </w:rPr>
      </w:pPr>
    </w:p>
    <w:sectPr w:rsidR="007048B8" w:rsidRPr="00FD1B4D" w:rsidSect="0027650C">
      <w:pgSz w:w="12240" w:h="15840"/>
      <w:pgMar w:top="9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D37BF"/>
    <w:multiLevelType w:val="multilevel"/>
    <w:tmpl w:val="23643F8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F72A36"/>
    <w:multiLevelType w:val="multilevel"/>
    <w:tmpl w:val="3626A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C74AC5"/>
    <w:multiLevelType w:val="multilevel"/>
    <w:tmpl w:val="3626A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0BE31E7"/>
    <w:multiLevelType w:val="multilevel"/>
    <w:tmpl w:val="38CAF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99E07BE"/>
    <w:multiLevelType w:val="multilevel"/>
    <w:tmpl w:val="75B28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AC9"/>
    <w:rsid w:val="00035AC9"/>
    <w:rsid w:val="000946A6"/>
    <w:rsid w:val="00156E62"/>
    <w:rsid w:val="001A470B"/>
    <w:rsid w:val="001E15BF"/>
    <w:rsid w:val="001F1270"/>
    <w:rsid w:val="0027650C"/>
    <w:rsid w:val="002E3D8E"/>
    <w:rsid w:val="003F187D"/>
    <w:rsid w:val="00456288"/>
    <w:rsid w:val="004864EB"/>
    <w:rsid w:val="004A24BF"/>
    <w:rsid w:val="004F70E9"/>
    <w:rsid w:val="00521487"/>
    <w:rsid w:val="005A0EE8"/>
    <w:rsid w:val="006A7EA3"/>
    <w:rsid w:val="007048B8"/>
    <w:rsid w:val="007277B5"/>
    <w:rsid w:val="00770844"/>
    <w:rsid w:val="007B0817"/>
    <w:rsid w:val="007B1893"/>
    <w:rsid w:val="007F0808"/>
    <w:rsid w:val="008B66E4"/>
    <w:rsid w:val="008C1EC4"/>
    <w:rsid w:val="009A052A"/>
    <w:rsid w:val="00BA3EEE"/>
    <w:rsid w:val="00BF75FA"/>
    <w:rsid w:val="00C03065"/>
    <w:rsid w:val="00C36FEF"/>
    <w:rsid w:val="00D3275B"/>
    <w:rsid w:val="00E10736"/>
    <w:rsid w:val="00E12298"/>
    <w:rsid w:val="00E51234"/>
    <w:rsid w:val="00E77BB3"/>
    <w:rsid w:val="00FB412F"/>
    <w:rsid w:val="00FD1B4D"/>
    <w:rsid w:val="00FD6938"/>
    <w:rsid w:val="00FF3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5AC9"/>
    <w:pPr>
      <w:spacing w:before="100" w:beforeAutospacing="1" w:after="100" w:afterAutospacing="1" w:line="240" w:lineRule="auto"/>
    </w:pPr>
    <w:rPr>
      <w:rFonts w:ascii="Times New Roman" w:eastAsia="Times New Roman" w:hAnsi="Times New Roman"/>
      <w:sz w:val="24"/>
      <w:szCs w:val="24"/>
    </w:rPr>
  </w:style>
  <w:style w:type="character" w:customStyle="1" w:styleId="sectitle">
    <w:name w:val="sectitle"/>
    <w:basedOn w:val="DefaultParagraphFont"/>
    <w:rsid w:val="00035AC9"/>
  </w:style>
  <w:style w:type="paragraph" w:styleId="BalloonText">
    <w:name w:val="Balloon Text"/>
    <w:basedOn w:val="Normal"/>
    <w:link w:val="BalloonTextChar"/>
    <w:uiPriority w:val="99"/>
    <w:semiHidden/>
    <w:unhideWhenUsed/>
    <w:rsid w:val="00035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AC9"/>
    <w:rPr>
      <w:rFonts w:ascii="Tahoma" w:hAnsi="Tahoma" w:cs="Tahoma"/>
      <w:sz w:val="16"/>
      <w:szCs w:val="16"/>
    </w:rPr>
  </w:style>
  <w:style w:type="paragraph" w:styleId="ListParagraph">
    <w:name w:val="List Paragraph"/>
    <w:basedOn w:val="Normal"/>
    <w:uiPriority w:val="34"/>
    <w:qFormat/>
    <w:rsid w:val="007F0808"/>
    <w:pPr>
      <w:ind w:left="720"/>
      <w:contextualSpacing/>
    </w:pPr>
  </w:style>
  <w:style w:type="character" w:customStyle="1" w:styleId="black">
    <w:name w:val="black"/>
    <w:basedOn w:val="DefaultParagraphFont"/>
    <w:rsid w:val="007F0808"/>
  </w:style>
  <w:style w:type="character" w:customStyle="1" w:styleId="organizationname">
    <w:name w:val="organizationname"/>
    <w:basedOn w:val="DefaultParagraphFont"/>
    <w:rsid w:val="005A0EE8"/>
  </w:style>
  <w:style w:type="paragraph" w:customStyle="1" w:styleId="redinterest">
    <w:name w:val="redinterest"/>
    <w:basedOn w:val="Normal"/>
    <w:rsid w:val="007048B8"/>
    <w:pPr>
      <w:spacing w:before="100" w:beforeAutospacing="1" w:after="100" w:afterAutospacing="1" w:line="240" w:lineRule="auto"/>
    </w:pPr>
    <w:rPr>
      <w:rFonts w:ascii="Times New Roman" w:eastAsia="Times New Roman" w:hAnsi="Times New Roman"/>
      <w:sz w:val="24"/>
      <w:szCs w:val="24"/>
    </w:rPr>
  </w:style>
  <w:style w:type="character" w:customStyle="1" w:styleId="Title1">
    <w:name w:val="Title1"/>
    <w:basedOn w:val="DefaultParagraphFont"/>
    <w:rsid w:val="00E12298"/>
  </w:style>
  <w:style w:type="character" w:customStyle="1" w:styleId="black2">
    <w:name w:val="black2"/>
    <w:basedOn w:val="DefaultParagraphFont"/>
    <w:rsid w:val="00E12298"/>
  </w:style>
  <w:style w:type="character" w:customStyle="1" w:styleId="explainp">
    <w:name w:val="explainp"/>
    <w:basedOn w:val="DefaultParagraphFont"/>
    <w:rsid w:val="00E77BB3"/>
  </w:style>
  <w:style w:type="character" w:customStyle="1" w:styleId="assetshortdesc">
    <w:name w:val="asset_shortdesc"/>
    <w:basedOn w:val="DefaultParagraphFont"/>
    <w:rsid w:val="00E77BB3"/>
  </w:style>
  <w:style w:type="character" w:styleId="Hyperlink">
    <w:name w:val="Hyperlink"/>
    <w:basedOn w:val="DefaultParagraphFont"/>
    <w:uiPriority w:val="99"/>
    <w:unhideWhenUsed/>
    <w:rsid w:val="00E77BB3"/>
    <w:rPr>
      <w:color w:val="0000FF"/>
      <w:u w:val="single"/>
    </w:rPr>
  </w:style>
  <w:style w:type="character" w:customStyle="1" w:styleId="smallcaps">
    <w:name w:val="smallcaps"/>
    <w:basedOn w:val="DefaultParagraphFont"/>
    <w:rsid w:val="00E77BB3"/>
  </w:style>
  <w:style w:type="paragraph" w:customStyle="1" w:styleId="decinsichess">
    <w:name w:val="decinsichess"/>
    <w:basedOn w:val="Normal"/>
    <w:rsid w:val="00E77BB3"/>
    <w:pPr>
      <w:spacing w:before="100" w:beforeAutospacing="1" w:after="100" w:afterAutospacing="1" w:line="240" w:lineRule="auto"/>
    </w:pPr>
    <w:rPr>
      <w:rFonts w:ascii="Times New Roman" w:eastAsia="Times New Roman" w:hAnsi="Times New Roman"/>
      <w:sz w:val="24"/>
      <w:szCs w:val="24"/>
    </w:rPr>
  </w:style>
  <w:style w:type="character" w:customStyle="1" w:styleId="point">
    <w:name w:val="point"/>
    <w:basedOn w:val="DefaultParagraphFont"/>
    <w:rsid w:val="00E77BB3"/>
  </w:style>
  <w:style w:type="paragraph" w:customStyle="1" w:styleId="decisionethicsanswer">
    <w:name w:val="decisionethicsanswer"/>
    <w:basedOn w:val="Normal"/>
    <w:rsid w:val="00E77BB3"/>
    <w:pPr>
      <w:spacing w:before="100" w:beforeAutospacing="1" w:after="100" w:afterAutospacing="1" w:line="240" w:lineRule="auto"/>
    </w:pPr>
    <w:rPr>
      <w:rFonts w:ascii="Times New Roman" w:eastAsia="Times New Roman" w:hAnsi="Times New Roman"/>
      <w:sz w:val="24"/>
      <w:szCs w:val="24"/>
    </w:rPr>
  </w:style>
  <w:style w:type="paragraph" w:customStyle="1" w:styleId="decisionethicsimage">
    <w:name w:val="decisionethicsimage"/>
    <w:basedOn w:val="Normal"/>
    <w:rsid w:val="00E77BB3"/>
    <w:pPr>
      <w:spacing w:before="100" w:beforeAutospacing="1" w:after="100" w:afterAutospacing="1" w:line="240" w:lineRule="auto"/>
    </w:pPr>
    <w:rPr>
      <w:rFonts w:ascii="Times New Roman" w:eastAsia="Times New Roman" w:hAnsi="Times New Roman"/>
      <w:sz w:val="24"/>
      <w:szCs w:val="24"/>
    </w:rPr>
  </w:style>
  <w:style w:type="character" w:customStyle="1" w:styleId="ethics">
    <w:name w:val="ethics"/>
    <w:basedOn w:val="DefaultParagraphFont"/>
    <w:rsid w:val="00E77BB3"/>
  </w:style>
  <w:style w:type="character" w:customStyle="1" w:styleId="fraud">
    <w:name w:val="fraud"/>
    <w:basedOn w:val="DefaultParagraphFont"/>
    <w:rsid w:val="00C03065"/>
  </w:style>
  <w:style w:type="character" w:customStyle="1" w:styleId="endc">
    <w:name w:val="endc"/>
    <w:basedOn w:val="DefaultParagraphFont"/>
    <w:rsid w:val="007B0817"/>
  </w:style>
  <w:style w:type="character" w:customStyle="1" w:styleId="endp">
    <w:name w:val="endp"/>
    <w:basedOn w:val="DefaultParagraphFont"/>
    <w:rsid w:val="007B0817"/>
  </w:style>
  <w:style w:type="character" w:customStyle="1" w:styleId="check">
    <w:name w:val="check"/>
    <w:basedOn w:val="DefaultParagraphFont"/>
    <w:rsid w:val="00FF32A8"/>
  </w:style>
  <w:style w:type="character" w:customStyle="1" w:styleId="apple-converted-space">
    <w:name w:val="apple-converted-space"/>
    <w:basedOn w:val="DefaultParagraphFont"/>
    <w:rsid w:val="00770844"/>
  </w:style>
  <w:style w:type="character" w:styleId="Emphasis">
    <w:name w:val="Emphasis"/>
    <w:basedOn w:val="DefaultParagraphFont"/>
    <w:uiPriority w:val="20"/>
    <w:qFormat/>
    <w:rsid w:val="0077084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5AC9"/>
    <w:pPr>
      <w:spacing w:before="100" w:beforeAutospacing="1" w:after="100" w:afterAutospacing="1" w:line="240" w:lineRule="auto"/>
    </w:pPr>
    <w:rPr>
      <w:rFonts w:ascii="Times New Roman" w:eastAsia="Times New Roman" w:hAnsi="Times New Roman"/>
      <w:sz w:val="24"/>
      <w:szCs w:val="24"/>
    </w:rPr>
  </w:style>
  <w:style w:type="character" w:customStyle="1" w:styleId="sectitle">
    <w:name w:val="sectitle"/>
    <w:basedOn w:val="DefaultParagraphFont"/>
    <w:rsid w:val="00035AC9"/>
  </w:style>
  <w:style w:type="paragraph" w:styleId="BalloonText">
    <w:name w:val="Balloon Text"/>
    <w:basedOn w:val="Normal"/>
    <w:link w:val="BalloonTextChar"/>
    <w:uiPriority w:val="99"/>
    <w:semiHidden/>
    <w:unhideWhenUsed/>
    <w:rsid w:val="00035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AC9"/>
    <w:rPr>
      <w:rFonts w:ascii="Tahoma" w:hAnsi="Tahoma" w:cs="Tahoma"/>
      <w:sz w:val="16"/>
      <w:szCs w:val="16"/>
    </w:rPr>
  </w:style>
  <w:style w:type="paragraph" w:styleId="ListParagraph">
    <w:name w:val="List Paragraph"/>
    <w:basedOn w:val="Normal"/>
    <w:uiPriority w:val="34"/>
    <w:qFormat/>
    <w:rsid w:val="007F0808"/>
    <w:pPr>
      <w:ind w:left="720"/>
      <w:contextualSpacing/>
    </w:pPr>
  </w:style>
  <w:style w:type="character" w:customStyle="1" w:styleId="black">
    <w:name w:val="black"/>
    <w:basedOn w:val="DefaultParagraphFont"/>
    <w:rsid w:val="007F0808"/>
  </w:style>
  <w:style w:type="character" w:customStyle="1" w:styleId="organizationname">
    <w:name w:val="organizationname"/>
    <w:basedOn w:val="DefaultParagraphFont"/>
    <w:rsid w:val="005A0EE8"/>
  </w:style>
  <w:style w:type="paragraph" w:customStyle="1" w:styleId="redinterest">
    <w:name w:val="redinterest"/>
    <w:basedOn w:val="Normal"/>
    <w:rsid w:val="007048B8"/>
    <w:pPr>
      <w:spacing w:before="100" w:beforeAutospacing="1" w:after="100" w:afterAutospacing="1" w:line="240" w:lineRule="auto"/>
    </w:pPr>
    <w:rPr>
      <w:rFonts w:ascii="Times New Roman" w:eastAsia="Times New Roman" w:hAnsi="Times New Roman"/>
      <w:sz w:val="24"/>
      <w:szCs w:val="24"/>
    </w:rPr>
  </w:style>
  <w:style w:type="character" w:customStyle="1" w:styleId="Title1">
    <w:name w:val="Title1"/>
    <w:basedOn w:val="DefaultParagraphFont"/>
    <w:rsid w:val="00E12298"/>
  </w:style>
  <w:style w:type="character" w:customStyle="1" w:styleId="black2">
    <w:name w:val="black2"/>
    <w:basedOn w:val="DefaultParagraphFont"/>
    <w:rsid w:val="00E12298"/>
  </w:style>
  <w:style w:type="character" w:customStyle="1" w:styleId="explainp">
    <w:name w:val="explainp"/>
    <w:basedOn w:val="DefaultParagraphFont"/>
    <w:rsid w:val="00E77BB3"/>
  </w:style>
  <w:style w:type="character" w:customStyle="1" w:styleId="assetshortdesc">
    <w:name w:val="asset_shortdesc"/>
    <w:basedOn w:val="DefaultParagraphFont"/>
    <w:rsid w:val="00E77BB3"/>
  </w:style>
  <w:style w:type="character" w:styleId="Hyperlink">
    <w:name w:val="Hyperlink"/>
    <w:basedOn w:val="DefaultParagraphFont"/>
    <w:uiPriority w:val="99"/>
    <w:unhideWhenUsed/>
    <w:rsid w:val="00E77BB3"/>
    <w:rPr>
      <w:color w:val="0000FF"/>
      <w:u w:val="single"/>
    </w:rPr>
  </w:style>
  <w:style w:type="character" w:customStyle="1" w:styleId="smallcaps">
    <w:name w:val="smallcaps"/>
    <w:basedOn w:val="DefaultParagraphFont"/>
    <w:rsid w:val="00E77BB3"/>
  </w:style>
  <w:style w:type="paragraph" w:customStyle="1" w:styleId="decinsichess">
    <w:name w:val="decinsichess"/>
    <w:basedOn w:val="Normal"/>
    <w:rsid w:val="00E77BB3"/>
    <w:pPr>
      <w:spacing w:before="100" w:beforeAutospacing="1" w:after="100" w:afterAutospacing="1" w:line="240" w:lineRule="auto"/>
    </w:pPr>
    <w:rPr>
      <w:rFonts w:ascii="Times New Roman" w:eastAsia="Times New Roman" w:hAnsi="Times New Roman"/>
      <w:sz w:val="24"/>
      <w:szCs w:val="24"/>
    </w:rPr>
  </w:style>
  <w:style w:type="character" w:customStyle="1" w:styleId="point">
    <w:name w:val="point"/>
    <w:basedOn w:val="DefaultParagraphFont"/>
    <w:rsid w:val="00E77BB3"/>
  </w:style>
  <w:style w:type="paragraph" w:customStyle="1" w:styleId="decisionethicsanswer">
    <w:name w:val="decisionethicsanswer"/>
    <w:basedOn w:val="Normal"/>
    <w:rsid w:val="00E77BB3"/>
    <w:pPr>
      <w:spacing w:before="100" w:beforeAutospacing="1" w:after="100" w:afterAutospacing="1" w:line="240" w:lineRule="auto"/>
    </w:pPr>
    <w:rPr>
      <w:rFonts w:ascii="Times New Roman" w:eastAsia="Times New Roman" w:hAnsi="Times New Roman"/>
      <w:sz w:val="24"/>
      <w:szCs w:val="24"/>
    </w:rPr>
  </w:style>
  <w:style w:type="paragraph" w:customStyle="1" w:styleId="decisionethicsimage">
    <w:name w:val="decisionethicsimage"/>
    <w:basedOn w:val="Normal"/>
    <w:rsid w:val="00E77BB3"/>
    <w:pPr>
      <w:spacing w:before="100" w:beforeAutospacing="1" w:after="100" w:afterAutospacing="1" w:line="240" w:lineRule="auto"/>
    </w:pPr>
    <w:rPr>
      <w:rFonts w:ascii="Times New Roman" w:eastAsia="Times New Roman" w:hAnsi="Times New Roman"/>
      <w:sz w:val="24"/>
      <w:szCs w:val="24"/>
    </w:rPr>
  </w:style>
  <w:style w:type="character" w:customStyle="1" w:styleId="ethics">
    <w:name w:val="ethics"/>
    <w:basedOn w:val="DefaultParagraphFont"/>
    <w:rsid w:val="00E77BB3"/>
  </w:style>
  <w:style w:type="character" w:customStyle="1" w:styleId="fraud">
    <w:name w:val="fraud"/>
    <w:basedOn w:val="DefaultParagraphFont"/>
    <w:rsid w:val="00C03065"/>
  </w:style>
  <w:style w:type="character" w:customStyle="1" w:styleId="endc">
    <w:name w:val="endc"/>
    <w:basedOn w:val="DefaultParagraphFont"/>
    <w:rsid w:val="007B0817"/>
  </w:style>
  <w:style w:type="character" w:customStyle="1" w:styleId="endp">
    <w:name w:val="endp"/>
    <w:basedOn w:val="DefaultParagraphFont"/>
    <w:rsid w:val="007B0817"/>
  </w:style>
  <w:style w:type="character" w:customStyle="1" w:styleId="check">
    <w:name w:val="check"/>
    <w:basedOn w:val="DefaultParagraphFont"/>
    <w:rsid w:val="00FF32A8"/>
  </w:style>
  <w:style w:type="character" w:customStyle="1" w:styleId="apple-converted-space">
    <w:name w:val="apple-converted-space"/>
    <w:basedOn w:val="DefaultParagraphFont"/>
    <w:rsid w:val="00770844"/>
  </w:style>
  <w:style w:type="character" w:styleId="Emphasis">
    <w:name w:val="Emphasis"/>
    <w:basedOn w:val="DefaultParagraphFont"/>
    <w:uiPriority w:val="20"/>
    <w:qFormat/>
    <w:rsid w:val="007708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91240">
      <w:bodyDiv w:val="1"/>
      <w:marLeft w:val="0"/>
      <w:marRight w:val="0"/>
      <w:marTop w:val="0"/>
      <w:marBottom w:val="0"/>
      <w:divBdr>
        <w:top w:val="none" w:sz="0" w:space="0" w:color="auto"/>
        <w:left w:val="none" w:sz="0" w:space="0" w:color="auto"/>
        <w:bottom w:val="none" w:sz="0" w:space="0" w:color="auto"/>
        <w:right w:val="none" w:sz="0" w:space="0" w:color="auto"/>
      </w:divBdr>
      <w:divsChild>
        <w:div w:id="327712470">
          <w:marLeft w:val="0"/>
          <w:marRight w:val="0"/>
          <w:marTop w:val="0"/>
          <w:marBottom w:val="0"/>
          <w:divBdr>
            <w:top w:val="none" w:sz="0" w:space="0" w:color="auto"/>
            <w:left w:val="none" w:sz="0" w:space="0" w:color="auto"/>
            <w:bottom w:val="none" w:sz="0" w:space="0" w:color="auto"/>
            <w:right w:val="none" w:sz="0" w:space="0" w:color="auto"/>
          </w:divBdr>
        </w:div>
      </w:divsChild>
    </w:div>
    <w:div w:id="77217795">
      <w:bodyDiv w:val="1"/>
      <w:marLeft w:val="0"/>
      <w:marRight w:val="0"/>
      <w:marTop w:val="0"/>
      <w:marBottom w:val="0"/>
      <w:divBdr>
        <w:top w:val="none" w:sz="0" w:space="0" w:color="auto"/>
        <w:left w:val="none" w:sz="0" w:space="0" w:color="auto"/>
        <w:bottom w:val="none" w:sz="0" w:space="0" w:color="auto"/>
        <w:right w:val="none" w:sz="0" w:space="0" w:color="auto"/>
      </w:divBdr>
      <w:divsChild>
        <w:div w:id="321202552">
          <w:marLeft w:val="0"/>
          <w:marRight w:val="0"/>
          <w:marTop w:val="0"/>
          <w:marBottom w:val="0"/>
          <w:divBdr>
            <w:top w:val="none" w:sz="0" w:space="0" w:color="auto"/>
            <w:left w:val="none" w:sz="0" w:space="0" w:color="auto"/>
            <w:bottom w:val="none" w:sz="0" w:space="0" w:color="auto"/>
            <w:right w:val="none" w:sz="0" w:space="0" w:color="auto"/>
          </w:divBdr>
          <w:divsChild>
            <w:div w:id="15161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6463">
      <w:bodyDiv w:val="1"/>
      <w:marLeft w:val="0"/>
      <w:marRight w:val="0"/>
      <w:marTop w:val="0"/>
      <w:marBottom w:val="0"/>
      <w:divBdr>
        <w:top w:val="none" w:sz="0" w:space="0" w:color="auto"/>
        <w:left w:val="none" w:sz="0" w:space="0" w:color="auto"/>
        <w:bottom w:val="none" w:sz="0" w:space="0" w:color="auto"/>
        <w:right w:val="none" w:sz="0" w:space="0" w:color="auto"/>
      </w:divBdr>
    </w:div>
    <w:div w:id="119341785">
      <w:bodyDiv w:val="1"/>
      <w:marLeft w:val="0"/>
      <w:marRight w:val="0"/>
      <w:marTop w:val="0"/>
      <w:marBottom w:val="0"/>
      <w:divBdr>
        <w:top w:val="none" w:sz="0" w:space="0" w:color="auto"/>
        <w:left w:val="none" w:sz="0" w:space="0" w:color="auto"/>
        <w:bottom w:val="none" w:sz="0" w:space="0" w:color="auto"/>
        <w:right w:val="none" w:sz="0" w:space="0" w:color="auto"/>
      </w:divBdr>
      <w:divsChild>
        <w:div w:id="13851037">
          <w:marLeft w:val="0"/>
          <w:marRight w:val="0"/>
          <w:marTop w:val="0"/>
          <w:marBottom w:val="0"/>
          <w:divBdr>
            <w:top w:val="none" w:sz="0" w:space="0" w:color="auto"/>
            <w:left w:val="none" w:sz="0" w:space="0" w:color="auto"/>
            <w:bottom w:val="none" w:sz="0" w:space="0" w:color="auto"/>
            <w:right w:val="none" w:sz="0" w:space="0" w:color="auto"/>
          </w:divBdr>
          <w:divsChild>
            <w:div w:id="136120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5503">
      <w:bodyDiv w:val="1"/>
      <w:marLeft w:val="0"/>
      <w:marRight w:val="0"/>
      <w:marTop w:val="0"/>
      <w:marBottom w:val="0"/>
      <w:divBdr>
        <w:top w:val="none" w:sz="0" w:space="0" w:color="auto"/>
        <w:left w:val="none" w:sz="0" w:space="0" w:color="auto"/>
        <w:bottom w:val="none" w:sz="0" w:space="0" w:color="auto"/>
        <w:right w:val="none" w:sz="0" w:space="0" w:color="auto"/>
      </w:divBdr>
      <w:divsChild>
        <w:div w:id="385421800">
          <w:marLeft w:val="0"/>
          <w:marRight w:val="0"/>
          <w:marTop w:val="0"/>
          <w:marBottom w:val="0"/>
          <w:divBdr>
            <w:top w:val="none" w:sz="0" w:space="0" w:color="auto"/>
            <w:left w:val="none" w:sz="0" w:space="0" w:color="auto"/>
            <w:bottom w:val="none" w:sz="0" w:space="0" w:color="auto"/>
            <w:right w:val="none" w:sz="0" w:space="0" w:color="auto"/>
          </w:divBdr>
          <w:divsChild>
            <w:div w:id="1576040658">
              <w:marLeft w:val="0"/>
              <w:marRight w:val="0"/>
              <w:marTop w:val="0"/>
              <w:marBottom w:val="0"/>
              <w:divBdr>
                <w:top w:val="none" w:sz="0" w:space="0" w:color="auto"/>
                <w:left w:val="none" w:sz="0" w:space="0" w:color="auto"/>
                <w:bottom w:val="none" w:sz="0" w:space="0" w:color="auto"/>
                <w:right w:val="none" w:sz="0" w:space="0" w:color="auto"/>
              </w:divBdr>
            </w:div>
            <w:div w:id="1243101177">
              <w:marLeft w:val="0"/>
              <w:marRight w:val="0"/>
              <w:marTop w:val="0"/>
              <w:marBottom w:val="0"/>
              <w:divBdr>
                <w:top w:val="none" w:sz="0" w:space="0" w:color="auto"/>
                <w:left w:val="none" w:sz="0" w:space="0" w:color="auto"/>
                <w:bottom w:val="none" w:sz="0" w:space="0" w:color="auto"/>
                <w:right w:val="none" w:sz="0" w:space="0" w:color="auto"/>
              </w:divBdr>
            </w:div>
            <w:div w:id="428158064">
              <w:marLeft w:val="0"/>
              <w:marRight w:val="0"/>
              <w:marTop w:val="0"/>
              <w:marBottom w:val="0"/>
              <w:divBdr>
                <w:top w:val="none" w:sz="0" w:space="0" w:color="auto"/>
                <w:left w:val="none" w:sz="0" w:space="0" w:color="auto"/>
                <w:bottom w:val="none" w:sz="0" w:space="0" w:color="auto"/>
                <w:right w:val="none" w:sz="0" w:space="0" w:color="auto"/>
              </w:divBdr>
              <w:divsChild>
                <w:div w:id="1760440711">
                  <w:marLeft w:val="0"/>
                  <w:marRight w:val="0"/>
                  <w:marTop w:val="0"/>
                  <w:marBottom w:val="0"/>
                  <w:divBdr>
                    <w:top w:val="none" w:sz="0" w:space="0" w:color="auto"/>
                    <w:left w:val="none" w:sz="0" w:space="0" w:color="auto"/>
                    <w:bottom w:val="none" w:sz="0" w:space="0" w:color="auto"/>
                    <w:right w:val="none" w:sz="0" w:space="0" w:color="auto"/>
                  </w:divBdr>
                </w:div>
              </w:divsChild>
            </w:div>
            <w:div w:id="161863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2035">
      <w:bodyDiv w:val="1"/>
      <w:marLeft w:val="0"/>
      <w:marRight w:val="0"/>
      <w:marTop w:val="0"/>
      <w:marBottom w:val="0"/>
      <w:divBdr>
        <w:top w:val="none" w:sz="0" w:space="0" w:color="auto"/>
        <w:left w:val="none" w:sz="0" w:space="0" w:color="auto"/>
        <w:bottom w:val="none" w:sz="0" w:space="0" w:color="auto"/>
        <w:right w:val="none" w:sz="0" w:space="0" w:color="auto"/>
      </w:divBdr>
      <w:divsChild>
        <w:div w:id="1661156843">
          <w:marLeft w:val="0"/>
          <w:marRight w:val="0"/>
          <w:marTop w:val="0"/>
          <w:marBottom w:val="0"/>
          <w:divBdr>
            <w:top w:val="none" w:sz="0" w:space="0" w:color="auto"/>
            <w:left w:val="none" w:sz="0" w:space="0" w:color="auto"/>
            <w:bottom w:val="none" w:sz="0" w:space="0" w:color="auto"/>
            <w:right w:val="none" w:sz="0" w:space="0" w:color="auto"/>
          </w:divBdr>
        </w:div>
        <w:div w:id="1841306683">
          <w:marLeft w:val="0"/>
          <w:marRight w:val="0"/>
          <w:marTop w:val="0"/>
          <w:marBottom w:val="0"/>
          <w:divBdr>
            <w:top w:val="none" w:sz="0" w:space="0" w:color="auto"/>
            <w:left w:val="none" w:sz="0" w:space="0" w:color="auto"/>
            <w:bottom w:val="none" w:sz="0" w:space="0" w:color="auto"/>
            <w:right w:val="none" w:sz="0" w:space="0" w:color="auto"/>
          </w:divBdr>
          <w:divsChild>
            <w:div w:id="109130692">
              <w:marLeft w:val="0"/>
              <w:marRight w:val="0"/>
              <w:marTop w:val="0"/>
              <w:marBottom w:val="0"/>
              <w:divBdr>
                <w:top w:val="none" w:sz="0" w:space="0" w:color="auto"/>
                <w:left w:val="none" w:sz="0" w:space="0" w:color="auto"/>
                <w:bottom w:val="none" w:sz="0" w:space="0" w:color="auto"/>
                <w:right w:val="none" w:sz="0" w:space="0" w:color="auto"/>
              </w:divBdr>
              <w:divsChild>
                <w:div w:id="241186146">
                  <w:marLeft w:val="0"/>
                  <w:marRight w:val="0"/>
                  <w:marTop w:val="0"/>
                  <w:marBottom w:val="0"/>
                  <w:divBdr>
                    <w:top w:val="none" w:sz="0" w:space="0" w:color="auto"/>
                    <w:left w:val="none" w:sz="0" w:space="0" w:color="auto"/>
                    <w:bottom w:val="none" w:sz="0" w:space="0" w:color="auto"/>
                    <w:right w:val="none" w:sz="0" w:space="0" w:color="auto"/>
                  </w:divBdr>
                  <w:divsChild>
                    <w:div w:id="189662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405937">
      <w:bodyDiv w:val="1"/>
      <w:marLeft w:val="0"/>
      <w:marRight w:val="0"/>
      <w:marTop w:val="0"/>
      <w:marBottom w:val="0"/>
      <w:divBdr>
        <w:top w:val="none" w:sz="0" w:space="0" w:color="auto"/>
        <w:left w:val="none" w:sz="0" w:space="0" w:color="auto"/>
        <w:bottom w:val="none" w:sz="0" w:space="0" w:color="auto"/>
        <w:right w:val="none" w:sz="0" w:space="0" w:color="auto"/>
      </w:divBdr>
    </w:div>
    <w:div w:id="530916388">
      <w:bodyDiv w:val="1"/>
      <w:marLeft w:val="0"/>
      <w:marRight w:val="0"/>
      <w:marTop w:val="0"/>
      <w:marBottom w:val="0"/>
      <w:divBdr>
        <w:top w:val="none" w:sz="0" w:space="0" w:color="auto"/>
        <w:left w:val="none" w:sz="0" w:space="0" w:color="auto"/>
        <w:bottom w:val="none" w:sz="0" w:space="0" w:color="auto"/>
        <w:right w:val="none" w:sz="0" w:space="0" w:color="auto"/>
      </w:divBdr>
      <w:divsChild>
        <w:div w:id="75061101">
          <w:marLeft w:val="0"/>
          <w:marRight w:val="0"/>
          <w:marTop w:val="0"/>
          <w:marBottom w:val="0"/>
          <w:divBdr>
            <w:top w:val="none" w:sz="0" w:space="0" w:color="auto"/>
            <w:left w:val="none" w:sz="0" w:space="0" w:color="auto"/>
            <w:bottom w:val="none" w:sz="0" w:space="0" w:color="auto"/>
            <w:right w:val="none" w:sz="0" w:space="0" w:color="auto"/>
          </w:divBdr>
          <w:divsChild>
            <w:div w:id="1369530465">
              <w:marLeft w:val="0"/>
              <w:marRight w:val="0"/>
              <w:marTop w:val="0"/>
              <w:marBottom w:val="0"/>
              <w:divBdr>
                <w:top w:val="none" w:sz="0" w:space="0" w:color="auto"/>
                <w:left w:val="none" w:sz="0" w:space="0" w:color="auto"/>
                <w:bottom w:val="none" w:sz="0" w:space="0" w:color="auto"/>
                <w:right w:val="none" w:sz="0" w:space="0" w:color="auto"/>
              </w:divBdr>
            </w:div>
          </w:divsChild>
        </w:div>
        <w:div w:id="123087756">
          <w:marLeft w:val="0"/>
          <w:marRight w:val="0"/>
          <w:marTop w:val="0"/>
          <w:marBottom w:val="0"/>
          <w:divBdr>
            <w:top w:val="none" w:sz="0" w:space="0" w:color="auto"/>
            <w:left w:val="none" w:sz="0" w:space="0" w:color="auto"/>
            <w:bottom w:val="none" w:sz="0" w:space="0" w:color="auto"/>
            <w:right w:val="none" w:sz="0" w:space="0" w:color="auto"/>
          </w:divBdr>
        </w:div>
      </w:divsChild>
    </w:div>
    <w:div w:id="582228145">
      <w:bodyDiv w:val="1"/>
      <w:marLeft w:val="0"/>
      <w:marRight w:val="0"/>
      <w:marTop w:val="0"/>
      <w:marBottom w:val="0"/>
      <w:divBdr>
        <w:top w:val="none" w:sz="0" w:space="0" w:color="auto"/>
        <w:left w:val="none" w:sz="0" w:space="0" w:color="auto"/>
        <w:bottom w:val="none" w:sz="0" w:space="0" w:color="auto"/>
        <w:right w:val="none" w:sz="0" w:space="0" w:color="auto"/>
      </w:divBdr>
      <w:divsChild>
        <w:div w:id="841357107">
          <w:marLeft w:val="0"/>
          <w:marRight w:val="0"/>
          <w:marTop w:val="0"/>
          <w:marBottom w:val="0"/>
          <w:divBdr>
            <w:top w:val="none" w:sz="0" w:space="0" w:color="auto"/>
            <w:left w:val="none" w:sz="0" w:space="0" w:color="auto"/>
            <w:bottom w:val="none" w:sz="0" w:space="0" w:color="auto"/>
            <w:right w:val="none" w:sz="0" w:space="0" w:color="auto"/>
          </w:divBdr>
        </w:div>
        <w:div w:id="660424354">
          <w:marLeft w:val="0"/>
          <w:marRight w:val="0"/>
          <w:marTop w:val="0"/>
          <w:marBottom w:val="0"/>
          <w:divBdr>
            <w:top w:val="none" w:sz="0" w:space="0" w:color="auto"/>
            <w:left w:val="none" w:sz="0" w:space="0" w:color="auto"/>
            <w:bottom w:val="none" w:sz="0" w:space="0" w:color="auto"/>
            <w:right w:val="none" w:sz="0" w:space="0" w:color="auto"/>
          </w:divBdr>
          <w:divsChild>
            <w:div w:id="291592050">
              <w:marLeft w:val="0"/>
              <w:marRight w:val="0"/>
              <w:marTop w:val="0"/>
              <w:marBottom w:val="0"/>
              <w:divBdr>
                <w:top w:val="none" w:sz="0" w:space="0" w:color="auto"/>
                <w:left w:val="none" w:sz="0" w:space="0" w:color="auto"/>
                <w:bottom w:val="none" w:sz="0" w:space="0" w:color="auto"/>
                <w:right w:val="none" w:sz="0" w:space="0" w:color="auto"/>
              </w:divBdr>
            </w:div>
            <w:div w:id="924653147">
              <w:marLeft w:val="0"/>
              <w:marRight w:val="0"/>
              <w:marTop w:val="0"/>
              <w:marBottom w:val="0"/>
              <w:divBdr>
                <w:top w:val="none" w:sz="0" w:space="0" w:color="auto"/>
                <w:left w:val="none" w:sz="0" w:space="0" w:color="auto"/>
                <w:bottom w:val="none" w:sz="0" w:space="0" w:color="auto"/>
                <w:right w:val="none" w:sz="0" w:space="0" w:color="auto"/>
              </w:divBdr>
            </w:div>
          </w:divsChild>
        </w:div>
        <w:div w:id="1698506045">
          <w:marLeft w:val="0"/>
          <w:marRight w:val="0"/>
          <w:marTop w:val="0"/>
          <w:marBottom w:val="0"/>
          <w:divBdr>
            <w:top w:val="none" w:sz="0" w:space="0" w:color="auto"/>
            <w:left w:val="none" w:sz="0" w:space="0" w:color="auto"/>
            <w:bottom w:val="none" w:sz="0" w:space="0" w:color="auto"/>
            <w:right w:val="none" w:sz="0" w:space="0" w:color="auto"/>
          </w:divBdr>
          <w:divsChild>
            <w:div w:id="1460877568">
              <w:marLeft w:val="0"/>
              <w:marRight w:val="0"/>
              <w:marTop w:val="0"/>
              <w:marBottom w:val="0"/>
              <w:divBdr>
                <w:top w:val="none" w:sz="0" w:space="0" w:color="auto"/>
                <w:left w:val="none" w:sz="0" w:space="0" w:color="auto"/>
                <w:bottom w:val="none" w:sz="0" w:space="0" w:color="auto"/>
                <w:right w:val="none" w:sz="0" w:space="0" w:color="auto"/>
              </w:divBdr>
              <w:divsChild>
                <w:div w:id="1657950976">
                  <w:marLeft w:val="0"/>
                  <w:marRight w:val="0"/>
                  <w:marTop w:val="0"/>
                  <w:marBottom w:val="0"/>
                  <w:divBdr>
                    <w:top w:val="none" w:sz="0" w:space="0" w:color="auto"/>
                    <w:left w:val="none" w:sz="0" w:space="0" w:color="auto"/>
                    <w:bottom w:val="none" w:sz="0" w:space="0" w:color="auto"/>
                    <w:right w:val="none" w:sz="0" w:space="0" w:color="auto"/>
                  </w:divBdr>
                </w:div>
              </w:divsChild>
            </w:div>
            <w:div w:id="1207447870">
              <w:marLeft w:val="0"/>
              <w:marRight w:val="0"/>
              <w:marTop w:val="0"/>
              <w:marBottom w:val="0"/>
              <w:divBdr>
                <w:top w:val="none" w:sz="0" w:space="0" w:color="auto"/>
                <w:left w:val="none" w:sz="0" w:space="0" w:color="auto"/>
                <w:bottom w:val="none" w:sz="0" w:space="0" w:color="auto"/>
                <w:right w:val="none" w:sz="0" w:space="0" w:color="auto"/>
              </w:divBdr>
            </w:div>
            <w:div w:id="1168254004">
              <w:marLeft w:val="0"/>
              <w:marRight w:val="0"/>
              <w:marTop w:val="0"/>
              <w:marBottom w:val="0"/>
              <w:divBdr>
                <w:top w:val="none" w:sz="0" w:space="0" w:color="auto"/>
                <w:left w:val="none" w:sz="0" w:space="0" w:color="auto"/>
                <w:bottom w:val="none" w:sz="0" w:space="0" w:color="auto"/>
                <w:right w:val="none" w:sz="0" w:space="0" w:color="auto"/>
              </w:divBdr>
              <w:divsChild>
                <w:div w:id="1062828044">
                  <w:marLeft w:val="0"/>
                  <w:marRight w:val="0"/>
                  <w:marTop w:val="0"/>
                  <w:marBottom w:val="0"/>
                  <w:divBdr>
                    <w:top w:val="none" w:sz="0" w:space="0" w:color="auto"/>
                    <w:left w:val="none" w:sz="0" w:space="0" w:color="auto"/>
                    <w:bottom w:val="none" w:sz="0" w:space="0" w:color="auto"/>
                    <w:right w:val="none" w:sz="0" w:space="0" w:color="auto"/>
                  </w:divBdr>
                </w:div>
                <w:div w:id="539173323">
                  <w:marLeft w:val="0"/>
                  <w:marRight w:val="0"/>
                  <w:marTop w:val="0"/>
                  <w:marBottom w:val="0"/>
                  <w:divBdr>
                    <w:top w:val="none" w:sz="0" w:space="0" w:color="auto"/>
                    <w:left w:val="none" w:sz="0" w:space="0" w:color="auto"/>
                    <w:bottom w:val="none" w:sz="0" w:space="0" w:color="auto"/>
                    <w:right w:val="none" w:sz="0" w:space="0" w:color="auto"/>
                  </w:divBdr>
                  <w:divsChild>
                    <w:div w:id="555509594">
                      <w:marLeft w:val="0"/>
                      <w:marRight w:val="0"/>
                      <w:marTop w:val="0"/>
                      <w:marBottom w:val="0"/>
                      <w:divBdr>
                        <w:top w:val="none" w:sz="0" w:space="0" w:color="auto"/>
                        <w:left w:val="none" w:sz="0" w:space="0" w:color="auto"/>
                        <w:bottom w:val="none" w:sz="0" w:space="0" w:color="auto"/>
                        <w:right w:val="none" w:sz="0" w:space="0" w:color="auto"/>
                      </w:divBdr>
                    </w:div>
                  </w:divsChild>
                </w:div>
                <w:div w:id="2091190905">
                  <w:marLeft w:val="0"/>
                  <w:marRight w:val="0"/>
                  <w:marTop w:val="0"/>
                  <w:marBottom w:val="0"/>
                  <w:divBdr>
                    <w:top w:val="none" w:sz="0" w:space="0" w:color="auto"/>
                    <w:left w:val="none" w:sz="0" w:space="0" w:color="auto"/>
                    <w:bottom w:val="none" w:sz="0" w:space="0" w:color="auto"/>
                    <w:right w:val="none" w:sz="0" w:space="0" w:color="auto"/>
                  </w:divBdr>
                  <w:divsChild>
                    <w:div w:id="292442267">
                      <w:marLeft w:val="0"/>
                      <w:marRight w:val="0"/>
                      <w:marTop w:val="0"/>
                      <w:marBottom w:val="0"/>
                      <w:divBdr>
                        <w:top w:val="none" w:sz="0" w:space="0" w:color="auto"/>
                        <w:left w:val="none" w:sz="0" w:space="0" w:color="auto"/>
                        <w:bottom w:val="none" w:sz="0" w:space="0" w:color="auto"/>
                        <w:right w:val="none" w:sz="0" w:space="0" w:color="auto"/>
                      </w:divBdr>
                      <w:divsChild>
                        <w:div w:id="192040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408583">
          <w:marLeft w:val="0"/>
          <w:marRight w:val="0"/>
          <w:marTop w:val="0"/>
          <w:marBottom w:val="0"/>
          <w:divBdr>
            <w:top w:val="none" w:sz="0" w:space="0" w:color="auto"/>
            <w:left w:val="none" w:sz="0" w:space="0" w:color="auto"/>
            <w:bottom w:val="none" w:sz="0" w:space="0" w:color="auto"/>
            <w:right w:val="none" w:sz="0" w:space="0" w:color="auto"/>
          </w:divBdr>
        </w:div>
      </w:divsChild>
    </w:div>
    <w:div w:id="734549839">
      <w:bodyDiv w:val="1"/>
      <w:marLeft w:val="0"/>
      <w:marRight w:val="0"/>
      <w:marTop w:val="0"/>
      <w:marBottom w:val="0"/>
      <w:divBdr>
        <w:top w:val="none" w:sz="0" w:space="0" w:color="auto"/>
        <w:left w:val="none" w:sz="0" w:space="0" w:color="auto"/>
        <w:bottom w:val="none" w:sz="0" w:space="0" w:color="auto"/>
        <w:right w:val="none" w:sz="0" w:space="0" w:color="auto"/>
      </w:divBdr>
      <w:divsChild>
        <w:div w:id="1892958243">
          <w:marLeft w:val="0"/>
          <w:marRight w:val="0"/>
          <w:marTop w:val="0"/>
          <w:marBottom w:val="0"/>
          <w:divBdr>
            <w:top w:val="none" w:sz="0" w:space="0" w:color="auto"/>
            <w:left w:val="none" w:sz="0" w:space="0" w:color="auto"/>
            <w:bottom w:val="none" w:sz="0" w:space="0" w:color="auto"/>
            <w:right w:val="none" w:sz="0" w:space="0" w:color="auto"/>
          </w:divBdr>
          <w:divsChild>
            <w:div w:id="342559021">
              <w:marLeft w:val="0"/>
              <w:marRight w:val="0"/>
              <w:marTop w:val="0"/>
              <w:marBottom w:val="0"/>
              <w:divBdr>
                <w:top w:val="none" w:sz="0" w:space="0" w:color="auto"/>
                <w:left w:val="none" w:sz="0" w:space="0" w:color="auto"/>
                <w:bottom w:val="none" w:sz="0" w:space="0" w:color="auto"/>
                <w:right w:val="none" w:sz="0" w:space="0" w:color="auto"/>
              </w:divBdr>
            </w:div>
            <w:div w:id="20010432">
              <w:marLeft w:val="0"/>
              <w:marRight w:val="0"/>
              <w:marTop w:val="0"/>
              <w:marBottom w:val="0"/>
              <w:divBdr>
                <w:top w:val="none" w:sz="0" w:space="0" w:color="auto"/>
                <w:left w:val="none" w:sz="0" w:space="0" w:color="auto"/>
                <w:bottom w:val="none" w:sz="0" w:space="0" w:color="auto"/>
                <w:right w:val="none" w:sz="0" w:space="0" w:color="auto"/>
              </w:divBdr>
            </w:div>
            <w:div w:id="7233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764444">
      <w:bodyDiv w:val="1"/>
      <w:marLeft w:val="0"/>
      <w:marRight w:val="0"/>
      <w:marTop w:val="0"/>
      <w:marBottom w:val="0"/>
      <w:divBdr>
        <w:top w:val="none" w:sz="0" w:space="0" w:color="auto"/>
        <w:left w:val="none" w:sz="0" w:space="0" w:color="auto"/>
        <w:bottom w:val="none" w:sz="0" w:space="0" w:color="auto"/>
        <w:right w:val="none" w:sz="0" w:space="0" w:color="auto"/>
      </w:divBdr>
    </w:div>
    <w:div w:id="831410401">
      <w:bodyDiv w:val="1"/>
      <w:marLeft w:val="0"/>
      <w:marRight w:val="0"/>
      <w:marTop w:val="0"/>
      <w:marBottom w:val="0"/>
      <w:divBdr>
        <w:top w:val="none" w:sz="0" w:space="0" w:color="auto"/>
        <w:left w:val="none" w:sz="0" w:space="0" w:color="auto"/>
        <w:bottom w:val="none" w:sz="0" w:space="0" w:color="auto"/>
        <w:right w:val="none" w:sz="0" w:space="0" w:color="auto"/>
      </w:divBdr>
      <w:divsChild>
        <w:div w:id="901646755">
          <w:marLeft w:val="0"/>
          <w:marRight w:val="0"/>
          <w:marTop w:val="0"/>
          <w:marBottom w:val="0"/>
          <w:divBdr>
            <w:top w:val="none" w:sz="0" w:space="0" w:color="auto"/>
            <w:left w:val="none" w:sz="0" w:space="0" w:color="auto"/>
            <w:bottom w:val="none" w:sz="0" w:space="0" w:color="auto"/>
            <w:right w:val="none" w:sz="0" w:space="0" w:color="auto"/>
          </w:divBdr>
          <w:divsChild>
            <w:div w:id="8735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44878">
      <w:bodyDiv w:val="1"/>
      <w:marLeft w:val="0"/>
      <w:marRight w:val="0"/>
      <w:marTop w:val="0"/>
      <w:marBottom w:val="0"/>
      <w:divBdr>
        <w:top w:val="none" w:sz="0" w:space="0" w:color="auto"/>
        <w:left w:val="none" w:sz="0" w:space="0" w:color="auto"/>
        <w:bottom w:val="none" w:sz="0" w:space="0" w:color="auto"/>
        <w:right w:val="none" w:sz="0" w:space="0" w:color="auto"/>
      </w:divBdr>
    </w:div>
    <w:div w:id="894661454">
      <w:bodyDiv w:val="1"/>
      <w:marLeft w:val="0"/>
      <w:marRight w:val="0"/>
      <w:marTop w:val="0"/>
      <w:marBottom w:val="0"/>
      <w:divBdr>
        <w:top w:val="none" w:sz="0" w:space="0" w:color="auto"/>
        <w:left w:val="none" w:sz="0" w:space="0" w:color="auto"/>
        <w:bottom w:val="none" w:sz="0" w:space="0" w:color="auto"/>
        <w:right w:val="none" w:sz="0" w:space="0" w:color="auto"/>
      </w:divBdr>
      <w:divsChild>
        <w:div w:id="420176964">
          <w:marLeft w:val="0"/>
          <w:marRight w:val="0"/>
          <w:marTop w:val="0"/>
          <w:marBottom w:val="0"/>
          <w:divBdr>
            <w:top w:val="none" w:sz="0" w:space="0" w:color="auto"/>
            <w:left w:val="none" w:sz="0" w:space="0" w:color="auto"/>
            <w:bottom w:val="none" w:sz="0" w:space="0" w:color="auto"/>
            <w:right w:val="none" w:sz="0" w:space="0" w:color="auto"/>
          </w:divBdr>
          <w:divsChild>
            <w:div w:id="13583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16768">
      <w:bodyDiv w:val="1"/>
      <w:marLeft w:val="0"/>
      <w:marRight w:val="0"/>
      <w:marTop w:val="0"/>
      <w:marBottom w:val="0"/>
      <w:divBdr>
        <w:top w:val="none" w:sz="0" w:space="0" w:color="auto"/>
        <w:left w:val="none" w:sz="0" w:space="0" w:color="auto"/>
        <w:bottom w:val="none" w:sz="0" w:space="0" w:color="auto"/>
        <w:right w:val="none" w:sz="0" w:space="0" w:color="auto"/>
      </w:divBdr>
      <w:divsChild>
        <w:div w:id="917635120">
          <w:marLeft w:val="0"/>
          <w:marRight w:val="0"/>
          <w:marTop w:val="0"/>
          <w:marBottom w:val="0"/>
          <w:divBdr>
            <w:top w:val="none" w:sz="0" w:space="0" w:color="auto"/>
            <w:left w:val="none" w:sz="0" w:space="0" w:color="auto"/>
            <w:bottom w:val="none" w:sz="0" w:space="0" w:color="auto"/>
            <w:right w:val="none" w:sz="0" w:space="0" w:color="auto"/>
          </w:divBdr>
          <w:divsChild>
            <w:div w:id="1513678">
              <w:marLeft w:val="0"/>
              <w:marRight w:val="0"/>
              <w:marTop w:val="0"/>
              <w:marBottom w:val="0"/>
              <w:divBdr>
                <w:top w:val="none" w:sz="0" w:space="0" w:color="auto"/>
                <w:left w:val="none" w:sz="0" w:space="0" w:color="auto"/>
                <w:bottom w:val="none" w:sz="0" w:space="0" w:color="auto"/>
                <w:right w:val="none" w:sz="0" w:space="0" w:color="auto"/>
              </w:divBdr>
            </w:div>
            <w:div w:id="644165439">
              <w:marLeft w:val="0"/>
              <w:marRight w:val="0"/>
              <w:marTop w:val="0"/>
              <w:marBottom w:val="0"/>
              <w:divBdr>
                <w:top w:val="none" w:sz="0" w:space="0" w:color="auto"/>
                <w:left w:val="none" w:sz="0" w:space="0" w:color="auto"/>
                <w:bottom w:val="none" w:sz="0" w:space="0" w:color="auto"/>
                <w:right w:val="none" w:sz="0" w:space="0" w:color="auto"/>
              </w:divBdr>
            </w:div>
            <w:div w:id="11795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12618">
      <w:bodyDiv w:val="1"/>
      <w:marLeft w:val="0"/>
      <w:marRight w:val="0"/>
      <w:marTop w:val="0"/>
      <w:marBottom w:val="0"/>
      <w:divBdr>
        <w:top w:val="none" w:sz="0" w:space="0" w:color="auto"/>
        <w:left w:val="none" w:sz="0" w:space="0" w:color="auto"/>
        <w:bottom w:val="none" w:sz="0" w:space="0" w:color="auto"/>
        <w:right w:val="none" w:sz="0" w:space="0" w:color="auto"/>
      </w:divBdr>
    </w:div>
    <w:div w:id="1039889788">
      <w:bodyDiv w:val="1"/>
      <w:marLeft w:val="0"/>
      <w:marRight w:val="0"/>
      <w:marTop w:val="0"/>
      <w:marBottom w:val="0"/>
      <w:divBdr>
        <w:top w:val="none" w:sz="0" w:space="0" w:color="auto"/>
        <w:left w:val="none" w:sz="0" w:space="0" w:color="auto"/>
        <w:bottom w:val="none" w:sz="0" w:space="0" w:color="auto"/>
        <w:right w:val="none" w:sz="0" w:space="0" w:color="auto"/>
      </w:divBdr>
      <w:divsChild>
        <w:div w:id="2009478223">
          <w:marLeft w:val="0"/>
          <w:marRight w:val="0"/>
          <w:marTop w:val="0"/>
          <w:marBottom w:val="0"/>
          <w:divBdr>
            <w:top w:val="none" w:sz="0" w:space="0" w:color="auto"/>
            <w:left w:val="none" w:sz="0" w:space="0" w:color="auto"/>
            <w:bottom w:val="none" w:sz="0" w:space="0" w:color="auto"/>
            <w:right w:val="none" w:sz="0" w:space="0" w:color="auto"/>
          </w:divBdr>
        </w:div>
        <w:div w:id="242178149">
          <w:marLeft w:val="0"/>
          <w:marRight w:val="0"/>
          <w:marTop w:val="0"/>
          <w:marBottom w:val="0"/>
          <w:divBdr>
            <w:top w:val="none" w:sz="0" w:space="0" w:color="auto"/>
            <w:left w:val="none" w:sz="0" w:space="0" w:color="auto"/>
            <w:bottom w:val="none" w:sz="0" w:space="0" w:color="auto"/>
            <w:right w:val="none" w:sz="0" w:space="0" w:color="auto"/>
          </w:divBdr>
          <w:divsChild>
            <w:div w:id="1159349954">
              <w:marLeft w:val="0"/>
              <w:marRight w:val="0"/>
              <w:marTop w:val="0"/>
              <w:marBottom w:val="0"/>
              <w:divBdr>
                <w:top w:val="none" w:sz="0" w:space="0" w:color="auto"/>
                <w:left w:val="none" w:sz="0" w:space="0" w:color="auto"/>
                <w:bottom w:val="none" w:sz="0" w:space="0" w:color="auto"/>
                <w:right w:val="none" w:sz="0" w:space="0" w:color="auto"/>
              </w:divBdr>
            </w:div>
          </w:divsChild>
        </w:div>
        <w:div w:id="852299625">
          <w:marLeft w:val="0"/>
          <w:marRight w:val="0"/>
          <w:marTop w:val="0"/>
          <w:marBottom w:val="0"/>
          <w:divBdr>
            <w:top w:val="none" w:sz="0" w:space="0" w:color="auto"/>
            <w:left w:val="none" w:sz="0" w:space="0" w:color="auto"/>
            <w:bottom w:val="none" w:sz="0" w:space="0" w:color="auto"/>
            <w:right w:val="none" w:sz="0" w:space="0" w:color="auto"/>
          </w:divBdr>
        </w:div>
        <w:div w:id="1844011580">
          <w:marLeft w:val="0"/>
          <w:marRight w:val="0"/>
          <w:marTop w:val="0"/>
          <w:marBottom w:val="0"/>
          <w:divBdr>
            <w:top w:val="none" w:sz="0" w:space="0" w:color="auto"/>
            <w:left w:val="none" w:sz="0" w:space="0" w:color="auto"/>
            <w:bottom w:val="none" w:sz="0" w:space="0" w:color="auto"/>
            <w:right w:val="none" w:sz="0" w:space="0" w:color="auto"/>
          </w:divBdr>
          <w:divsChild>
            <w:div w:id="7509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17861">
      <w:bodyDiv w:val="1"/>
      <w:marLeft w:val="0"/>
      <w:marRight w:val="0"/>
      <w:marTop w:val="0"/>
      <w:marBottom w:val="0"/>
      <w:divBdr>
        <w:top w:val="none" w:sz="0" w:space="0" w:color="auto"/>
        <w:left w:val="none" w:sz="0" w:space="0" w:color="auto"/>
        <w:bottom w:val="none" w:sz="0" w:space="0" w:color="auto"/>
        <w:right w:val="none" w:sz="0" w:space="0" w:color="auto"/>
      </w:divBdr>
      <w:divsChild>
        <w:div w:id="1388262475">
          <w:marLeft w:val="0"/>
          <w:marRight w:val="0"/>
          <w:marTop w:val="0"/>
          <w:marBottom w:val="0"/>
          <w:divBdr>
            <w:top w:val="none" w:sz="0" w:space="0" w:color="auto"/>
            <w:left w:val="none" w:sz="0" w:space="0" w:color="auto"/>
            <w:bottom w:val="none" w:sz="0" w:space="0" w:color="auto"/>
            <w:right w:val="none" w:sz="0" w:space="0" w:color="auto"/>
          </w:divBdr>
          <w:divsChild>
            <w:div w:id="102421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29017">
      <w:bodyDiv w:val="1"/>
      <w:marLeft w:val="0"/>
      <w:marRight w:val="0"/>
      <w:marTop w:val="0"/>
      <w:marBottom w:val="0"/>
      <w:divBdr>
        <w:top w:val="none" w:sz="0" w:space="0" w:color="auto"/>
        <w:left w:val="none" w:sz="0" w:space="0" w:color="auto"/>
        <w:bottom w:val="none" w:sz="0" w:space="0" w:color="auto"/>
        <w:right w:val="none" w:sz="0" w:space="0" w:color="auto"/>
      </w:divBdr>
      <w:divsChild>
        <w:div w:id="1260794296">
          <w:marLeft w:val="0"/>
          <w:marRight w:val="0"/>
          <w:marTop w:val="0"/>
          <w:marBottom w:val="0"/>
          <w:divBdr>
            <w:top w:val="none" w:sz="0" w:space="0" w:color="auto"/>
            <w:left w:val="none" w:sz="0" w:space="0" w:color="auto"/>
            <w:bottom w:val="none" w:sz="0" w:space="0" w:color="auto"/>
            <w:right w:val="none" w:sz="0" w:space="0" w:color="auto"/>
          </w:divBdr>
          <w:divsChild>
            <w:div w:id="944774999">
              <w:marLeft w:val="0"/>
              <w:marRight w:val="0"/>
              <w:marTop w:val="0"/>
              <w:marBottom w:val="0"/>
              <w:divBdr>
                <w:top w:val="none" w:sz="0" w:space="0" w:color="auto"/>
                <w:left w:val="none" w:sz="0" w:space="0" w:color="auto"/>
                <w:bottom w:val="none" w:sz="0" w:space="0" w:color="auto"/>
                <w:right w:val="none" w:sz="0" w:space="0" w:color="auto"/>
              </w:divBdr>
            </w:div>
          </w:divsChild>
        </w:div>
        <w:div w:id="1883665491">
          <w:marLeft w:val="0"/>
          <w:marRight w:val="0"/>
          <w:marTop w:val="0"/>
          <w:marBottom w:val="0"/>
          <w:divBdr>
            <w:top w:val="none" w:sz="0" w:space="0" w:color="auto"/>
            <w:left w:val="none" w:sz="0" w:space="0" w:color="auto"/>
            <w:bottom w:val="none" w:sz="0" w:space="0" w:color="auto"/>
            <w:right w:val="none" w:sz="0" w:space="0" w:color="auto"/>
          </w:divBdr>
        </w:div>
      </w:divsChild>
    </w:div>
    <w:div w:id="1511486787">
      <w:bodyDiv w:val="1"/>
      <w:marLeft w:val="0"/>
      <w:marRight w:val="0"/>
      <w:marTop w:val="0"/>
      <w:marBottom w:val="0"/>
      <w:divBdr>
        <w:top w:val="none" w:sz="0" w:space="0" w:color="auto"/>
        <w:left w:val="none" w:sz="0" w:space="0" w:color="auto"/>
        <w:bottom w:val="none" w:sz="0" w:space="0" w:color="auto"/>
        <w:right w:val="none" w:sz="0" w:space="0" w:color="auto"/>
      </w:divBdr>
      <w:divsChild>
        <w:div w:id="1736582202">
          <w:marLeft w:val="0"/>
          <w:marRight w:val="0"/>
          <w:marTop w:val="0"/>
          <w:marBottom w:val="0"/>
          <w:divBdr>
            <w:top w:val="none" w:sz="0" w:space="0" w:color="auto"/>
            <w:left w:val="none" w:sz="0" w:space="0" w:color="auto"/>
            <w:bottom w:val="none" w:sz="0" w:space="0" w:color="auto"/>
            <w:right w:val="none" w:sz="0" w:space="0" w:color="auto"/>
          </w:divBdr>
          <w:divsChild>
            <w:div w:id="843594805">
              <w:marLeft w:val="0"/>
              <w:marRight w:val="0"/>
              <w:marTop w:val="0"/>
              <w:marBottom w:val="0"/>
              <w:divBdr>
                <w:top w:val="none" w:sz="0" w:space="0" w:color="auto"/>
                <w:left w:val="none" w:sz="0" w:space="0" w:color="auto"/>
                <w:bottom w:val="none" w:sz="0" w:space="0" w:color="auto"/>
                <w:right w:val="none" w:sz="0" w:space="0" w:color="auto"/>
              </w:divBdr>
              <w:divsChild>
                <w:div w:id="1284731363">
                  <w:marLeft w:val="0"/>
                  <w:marRight w:val="0"/>
                  <w:marTop w:val="0"/>
                  <w:marBottom w:val="0"/>
                  <w:divBdr>
                    <w:top w:val="none" w:sz="0" w:space="0" w:color="auto"/>
                    <w:left w:val="none" w:sz="0" w:space="0" w:color="auto"/>
                    <w:bottom w:val="none" w:sz="0" w:space="0" w:color="auto"/>
                    <w:right w:val="none" w:sz="0" w:space="0" w:color="auto"/>
                  </w:divBdr>
                </w:div>
              </w:divsChild>
            </w:div>
            <w:div w:id="920139865">
              <w:marLeft w:val="0"/>
              <w:marRight w:val="0"/>
              <w:marTop w:val="0"/>
              <w:marBottom w:val="0"/>
              <w:divBdr>
                <w:top w:val="none" w:sz="0" w:space="0" w:color="auto"/>
                <w:left w:val="none" w:sz="0" w:space="0" w:color="auto"/>
                <w:bottom w:val="none" w:sz="0" w:space="0" w:color="auto"/>
                <w:right w:val="none" w:sz="0" w:space="0" w:color="auto"/>
              </w:divBdr>
              <w:divsChild>
                <w:div w:id="1252858427">
                  <w:marLeft w:val="0"/>
                  <w:marRight w:val="0"/>
                  <w:marTop w:val="0"/>
                  <w:marBottom w:val="0"/>
                  <w:divBdr>
                    <w:top w:val="none" w:sz="0" w:space="0" w:color="auto"/>
                    <w:left w:val="none" w:sz="0" w:space="0" w:color="auto"/>
                    <w:bottom w:val="none" w:sz="0" w:space="0" w:color="auto"/>
                    <w:right w:val="none" w:sz="0" w:space="0" w:color="auto"/>
                  </w:divBdr>
                </w:div>
                <w:div w:id="1403329988">
                  <w:marLeft w:val="0"/>
                  <w:marRight w:val="0"/>
                  <w:marTop w:val="0"/>
                  <w:marBottom w:val="0"/>
                  <w:divBdr>
                    <w:top w:val="none" w:sz="0" w:space="0" w:color="auto"/>
                    <w:left w:val="none" w:sz="0" w:space="0" w:color="auto"/>
                    <w:bottom w:val="none" w:sz="0" w:space="0" w:color="auto"/>
                    <w:right w:val="none" w:sz="0" w:space="0" w:color="auto"/>
                  </w:divBdr>
                </w:div>
                <w:div w:id="2030982132">
                  <w:marLeft w:val="0"/>
                  <w:marRight w:val="0"/>
                  <w:marTop w:val="0"/>
                  <w:marBottom w:val="0"/>
                  <w:divBdr>
                    <w:top w:val="none" w:sz="0" w:space="0" w:color="auto"/>
                    <w:left w:val="none" w:sz="0" w:space="0" w:color="auto"/>
                    <w:bottom w:val="none" w:sz="0" w:space="0" w:color="auto"/>
                    <w:right w:val="none" w:sz="0" w:space="0" w:color="auto"/>
                  </w:divBdr>
                </w:div>
                <w:div w:id="1113018903">
                  <w:marLeft w:val="0"/>
                  <w:marRight w:val="0"/>
                  <w:marTop w:val="0"/>
                  <w:marBottom w:val="0"/>
                  <w:divBdr>
                    <w:top w:val="none" w:sz="0" w:space="0" w:color="auto"/>
                    <w:left w:val="none" w:sz="0" w:space="0" w:color="auto"/>
                    <w:bottom w:val="none" w:sz="0" w:space="0" w:color="auto"/>
                    <w:right w:val="none" w:sz="0" w:space="0" w:color="auto"/>
                  </w:divBdr>
                  <w:divsChild>
                    <w:div w:id="1313483642">
                      <w:marLeft w:val="0"/>
                      <w:marRight w:val="0"/>
                      <w:marTop w:val="0"/>
                      <w:marBottom w:val="0"/>
                      <w:divBdr>
                        <w:top w:val="none" w:sz="0" w:space="0" w:color="auto"/>
                        <w:left w:val="none" w:sz="0" w:space="0" w:color="auto"/>
                        <w:bottom w:val="none" w:sz="0" w:space="0" w:color="auto"/>
                        <w:right w:val="none" w:sz="0" w:space="0" w:color="auto"/>
                      </w:divBdr>
                    </w:div>
                    <w:div w:id="1539201028">
                      <w:marLeft w:val="0"/>
                      <w:marRight w:val="0"/>
                      <w:marTop w:val="0"/>
                      <w:marBottom w:val="0"/>
                      <w:divBdr>
                        <w:top w:val="none" w:sz="0" w:space="0" w:color="auto"/>
                        <w:left w:val="none" w:sz="0" w:space="0" w:color="auto"/>
                        <w:bottom w:val="none" w:sz="0" w:space="0" w:color="auto"/>
                        <w:right w:val="none" w:sz="0" w:space="0" w:color="auto"/>
                      </w:divBdr>
                      <w:divsChild>
                        <w:div w:id="184000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9801">
                  <w:marLeft w:val="0"/>
                  <w:marRight w:val="0"/>
                  <w:marTop w:val="0"/>
                  <w:marBottom w:val="0"/>
                  <w:divBdr>
                    <w:top w:val="none" w:sz="0" w:space="0" w:color="auto"/>
                    <w:left w:val="none" w:sz="0" w:space="0" w:color="auto"/>
                    <w:bottom w:val="none" w:sz="0" w:space="0" w:color="auto"/>
                    <w:right w:val="none" w:sz="0" w:space="0" w:color="auto"/>
                  </w:divBdr>
                  <w:divsChild>
                    <w:div w:id="356007774">
                      <w:marLeft w:val="0"/>
                      <w:marRight w:val="0"/>
                      <w:marTop w:val="0"/>
                      <w:marBottom w:val="0"/>
                      <w:divBdr>
                        <w:top w:val="none" w:sz="0" w:space="0" w:color="auto"/>
                        <w:left w:val="none" w:sz="0" w:space="0" w:color="auto"/>
                        <w:bottom w:val="none" w:sz="0" w:space="0" w:color="auto"/>
                        <w:right w:val="none" w:sz="0" w:space="0" w:color="auto"/>
                      </w:divBdr>
                      <w:divsChild>
                        <w:div w:id="121858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01559">
                  <w:marLeft w:val="0"/>
                  <w:marRight w:val="0"/>
                  <w:marTop w:val="0"/>
                  <w:marBottom w:val="0"/>
                  <w:divBdr>
                    <w:top w:val="none" w:sz="0" w:space="0" w:color="auto"/>
                    <w:left w:val="none" w:sz="0" w:space="0" w:color="auto"/>
                    <w:bottom w:val="none" w:sz="0" w:space="0" w:color="auto"/>
                    <w:right w:val="none" w:sz="0" w:space="0" w:color="auto"/>
                  </w:divBdr>
                  <w:divsChild>
                    <w:div w:id="290748052">
                      <w:marLeft w:val="0"/>
                      <w:marRight w:val="0"/>
                      <w:marTop w:val="0"/>
                      <w:marBottom w:val="0"/>
                      <w:divBdr>
                        <w:top w:val="none" w:sz="0" w:space="0" w:color="auto"/>
                        <w:left w:val="none" w:sz="0" w:space="0" w:color="auto"/>
                        <w:bottom w:val="none" w:sz="0" w:space="0" w:color="auto"/>
                        <w:right w:val="none" w:sz="0" w:space="0" w:color="auto"/>
                      </w:divBdr>
                    </w:div>
                  </w:divsChild>
                </w:div>
                <w:div w:id="768937017">
                  <w:marLeft w:val="0"/>
                  <w:marRight w:val="0"/>
                  <w:marTop w:val="0"/>
                  <w:marBottom w:val="0"/>
                  <w:divBdr>
                    <w:top w:val="none" w:sz="0" w:space="0" w:color="auto"/>
                    <w:left w:val="none" w:sz="0" w:space="0" w:color="auto"/>
                    <w:bottom w:val="none" w:sz="0" w:space="0" w:color="auto"/>
                    <w:right w:val="none" w:sz="0" w:space="0" w:color="auto"/>
                  </w:divBdr>
                  <w:divsChild>
                    <w:div w:id="456458751">
                      <w:marLeft w:val="0"/>
                      <w:marRight w:val="0"/>
                      <w:marTop w:val="0"/>
                      <w:marBottom w:val="0"/>
                      <w:divBdr>
                        <w:top w:val="none" w:sz="0" w:space="0" w:color="auto"/>
                        <w:left w:val="none" w:sz="0" w:space="0" w:color="auto"/>
                        <w:bottom w:val="none" w:sz="0" w:space="0" w:color="auto"/>
                        <w:right w:val="none" w:sz="0" w:space="0" w:color="auto"/>
                      </w:divBdr>
                    </w:div>
                  </w:divsChild>
                </w:div>
                <w:div w:id="1704675790">
                  <w:marLeft w:val="0"/>
                  <w:marRight w:val="0"/>
                  <w:marTop w:val="0"/>
                  <w:marBottom w:val="0"/>
                  <w:divBdr>
                    <w:top w:val="none" w:sz="0" w:space="0" w:color="auto"/>
                    <w:left w:val="none" w:sz="0" w:space="0" w:color="auto"/>
                    <w:bottom w:val="none" w:sz="0" w:space="0" w:color="auto"/>
                    <w:right w:val="none" w:sz="0" w:space="0" w:color="auto"/>
                  </w:divBdr>
                  <w:divsChild>
                    <w:div w:id="1993871193">
                      <w:marLeft w:val="0"/>
                      <w:marRight w:val="0"/>
                      <w:marTop w:val="0"/>
                      <w:marBottom w:val="0"/>
                      <w:divBdr>
                        <w:top w:val="none" w:sz="0" w:space="0" w:color="auto"/>
                        <w:left w:val="none" w:sz="0" w:space="0" w:color="auto"/>
                        <w:bottom w:val="none" w:sz="0" w:space="0" w:color="auto"/>
                        <w:right w:val="none" w:sz="0" w:space="0" w:color="auto"/>
                      </w:divBdr>
                    </w:div>
                  </w:divsChild>
                </w:div>
                <w:div w:id="1105734187">
                  <w:marLeft w:val="0"/>
                  <w:marRight w:val="0"/>
                  <w:marTop w:val="0"/>
                  <w:marBottom w:val="0"/>
                  <w:divBdr>
                    <w:top w:val="none" w:sz="0" w:space="0" w:color="auto"/>
                    <w:left w:val="none" w:sz="0" w:space="0" w:color="auto"/>
                    <w:bottom w:val="none" w:sz="0" w:space="0" w:color="auto"/>
                    <w:right w:val="none" w:sz="0" w:space="0" w:color="auto"/>
                  </w:divBdr>
                  <w:divsChild>
                    <w:div w:id="324214060">
                      <w:marLeft w:val="0"/>
                      <w:marRight w:val="0"/>
                      <w:marTop w:val="0"/>
                      <w:marBottom w:val="0"/>
                      <w:divBdr>
                        <w:top w:val="none" w:sz="0" w:space="0" w:color="auto"/>
                        <w:left w:val="none" w:sz="0" w:space="0" w:color="auto"/>
                        <w:bottom w:val="none" w:sz="0" w:space="0" w:color="auto"/>
                        <w:right w:val="none" w:sz="0" w:space="0" w:color="auto"/>
                      </w:divBdr>
                      <w:divsChild>
                        <w:div w:id="201330319">
                          <w:marLeft w:val="0"/>
                          <w:marRight w:val="0"/>
                          <w:marTop w:val="0"/>
                          <w:marBottom w:val="0"/>
                          <w:divBdr>
                            <w:top w:val="none" w:sz="0" w:space="0" w:color="auto"/>
                            <w:left w:val="none" w:sz="0" w:space="0" w:color="auto"/>
                            <w:bottom w:val="none" w:sz="0" w:space="0" w:color="auto"/>
                            <w:right w:val="none" w:sz="0" w:space="0" w:color="auto"/>
                          </w:divBdr>
                        </w:div>
                        <w:div w:id="1697004882">
                          <w:marLeft w:val="0"/>
                          <w:marRight w:val="0"/>
                          <w:marTop w:val="0"/>
                          <w:marBottom w:val="0"/>
                          <w:divBdr>
                            <w:top w:val="none" w:sz="0" w:space="0" w:color="auto"/>
                            <w:left w:val="none" w:sz="0" w:space="0" w:color="auto"/>
                            <w:bottom w:val="none" w:sz="0" w:space="0" w:color="auto"/>
                            <w:right w:val="none" w:sz="0" w:space="0" w:color="auto"/>
                          </w:divBdr>
                        </w:div>
                      </w:divsChild>
                    </w:div>
                    <w:div w:id="969899334">
                      <w:marLeft w:val="0"/>
                      <w:marRight w:val="0"/>
                      <w:marTop w:val="0"/>
                      <w:marBottom w:val="0"/>
                      <w:divBdr>
                        <w:top w:val="none" w:sz="0" w:space="0" w:color="auto"/>
                        <w:left w:val="none" w:sz="0" w:space="0" w:color="auto"/>
                        <w:bottom w:val="none" w:sz="0" w:space="0" w:color="auto"/>
                        <w:right w:val="none" w:sz="0" w:space="0" w:color="auto"/>
                      </w:divBdr>
                      <w:divsChild>
                        <w:div w:id="1011839879">
                          <w:marLeft w:val="0"/>
                          <w:marRight w:val="0"/>
                          <w:marTop w:val="0"/>
                          <w:marBottom w:val="0"/>
                          <w:divBdr>
                            <w:top w:val="none" w:sz="0" w:space="0" w:color="auto"/>
                            <w:left w:val="none" w:sz="0" w:space="0" w:color="auto"/>
                            <w:bottom w:val="none" w:sz="0" w:space="0" w:color="auto"/>
                            <w:right w:val="none" w:sz="0" w:space="0" w:color="auto"/>
                          </w:divBdr>
                        </w:div>
                      </w:divsChild>
                    </w:div>
                    <w:div w:id="122236446">
                      <w:marLeft w:val="0"/>
                      <w:marRight w:val="0"/>
                      <w:marTop w:val="0"/>
                      <w:marBottom w:val="0"/>
                      <w:divBdr>
                        <w:top w:val="none" w:sz="0" w:space="0" w:color="auto"/>
                        <w:left w:val="none" w:sz="0" w:space="0" w:color="auto"/>
                        <w:bottom w:val="none" w:sz="0" w:space="0" w:color="auto"/>
                        <w:right w:val="none" w:sz="0" w:space="0" w:color="auto"/>
                      </w:divBdr>
                      <w:divsChild>
                        <w:div w:id="11888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466617">
              <w:marLeft w:val="0"/>
              <w:marRight w:val="0"/>
              <w:marTop w:val="0"/>
              <w:marBottom w:val="0"/>
              <w:divBdr>
                <w:top w:val="none" w:sz="0" w:space="0" w:color="auto"/>
                <w:left w:val="none" w:sz="0" w:space="0" w:color="auto"/>
                <w:bottom w:val="none" w:sz="0" w:space="0" w:color="auto"/>
                <w:right w:val="none" w:sz="0" w:space="0" w:color="auto"/>
              </w:divBdr>
              <w:divsChild>
                <w:div w:id="1444962091">
                  <w:marLeft w:val="0"/>
                  <w:marRight w:val="0"/>
                  <w:marTop w:val="0"/>
                  <w:marBottom w:val="0"/>
                  <w:divBdr>
                    <w:top w:val="none" w:sz="0" w:space="0" w:color="auto"/>
                    <w:left w:val="none" w:sz="0" w:space="0" w:color="auto"/>
                    <w:bottom w:val="none" w:sz="0" w:space="0" w:color="auto"/>
                    <w:right w:val="none" w:sz="0" w:space="0" w:color="auto"/>
                  </w:divBdr>
                </w:div>
                <w:div w:id="365567872">
                  <w:marLeft w:val="0"/>
                  <w:marRight w:val="0"/>
                  <w:marTop w:val="0"/>
                  <w:marBottom w:val="0"/>
                  <w:divBdr>
                    <w:top w:val="none" w:sz="0" w:space="0" w:color="auto"/>
                    <w:left w:val="none" w:sz="0" w:space="0" w:color="auto"/>
                    <w:bottom w:val="none" w:sz="0" w:space="0" w:color="auto"/>
                    <w:right w:val="none" w:sz="0" w:space="0" w:color="auto"/>
                  </w:divBdr>
                </w:div>
                <w:div w:id="2021084308">
                  <w:marLeft w:val="0"/>
                  <w:marRight w:val="0"/>
                  <w:marTop w:val="0"/>
                  <w:marBottom w:val="0"/>
                  <w:divBdr>
                    <w:top w:val="none" w:sz="0" w:space="0" w:color="auto"/>
                    <w:left w:val="none" w:sz="0" w:space="0" w:color="auto"/>
                    <w:bottom w:val="none" w:sz="0" w:space="0" w:color="auto"/>
                    <w:right w:val="none" w:sz="0" w:space="0" w:color="auto"/>
                  </w:divBdr>
                </w:div>
                <w:div w:id="842011273">
                  <w:marLeft w:val="0"/>
                  <w:marRight w:val="0"/>
                  <w:marTop w:val="0"/>
                  <w:marBottom w:val="0"/>
                  <w:divBdr>
                    <w:top w:val="none" w:sz="0" w:space="0" w:color="auto"/>
                    <w:left w:val="none" w:sz="0" w:space="0" w:color="auto"/>
                    <w:bottom w:val="none" w:sz="0" w:space="0" w:color="auto"/>
                    <w:right w:val="none" w:sz="0" w:space="0" w:color="auto"/>
                  </w:divBdr>
                  <w:divsChild>
                    <w:div w:id="2002196566">
                      <w:marLeft w:val="0"/>
                      <w:marRight w:val="0"/>
                      <w:marTop w:val="0"/>
                      <w:marBottom w:val="0"/>
                      <w:divBdr>
                        <w:top w:val="none" w:sz="0" w:space="0" w:color="auto"/>
                        <w:left w:val="none" w:sz="0" w:space="0" w:color="auto"/>
                        <w:bottom w:val="none" w:sz="0" w:space="0" w:color="auto"/>
                        <w:right w:val="none" w:sz="0" w:space="0" w:color="auto"/>
                      </w:divBdr>
                    </w:div>
                  </w:divsChild>
                </w:div>
                <w:div w:id="347874623">
                  <w:marLeft w:val="0"/>
                  <w:marRight w:val="0"/>
                  <w:marTop w:val="0"/>
                  <w:marBottom w:val="0"/>
                  <w:divBdr>
                    <w:top w:val="none" w:sz="0" w:space="0" w:color="auto"/>
                    <w:left w:val="none" w:sz="0" w:space="0" w:color="auto"/>
                    <w:bottom w:val="none" w:sz="0" w:space="0" w:color="auto"/>
                    <w:right w:val="none" w:sz="0" w:space="0" w:color="auto"/>
                  </w:divBdr>
                </w:div>
                <w:div w:id="804130084">
                  <w:marLeft w:val="0"/>
                  <w:marRight w:val="0"/>
                  <w:marTop w:val="0"/>
                  <w:marBottom w:val="0"/>
                  <w:divBdr>
                    <w:top w:val="none" w:sz="0" w:space="0" w:color="auto"/>
                    <w:left w:val="none" w:sz="0" w:space="0" w:color="auto"/>
                    <w:bottom w:val="none" w:sz="0" w:space="0" w:color="auto"/>
                    <w:right w:val="none" w:sz="0" w:space="0" w:color="auto"/>
                  </w:divBdr>
                  <w:divsChild>
                    <w:div w:id="1893226214">
                      <w:marLeft w:val="0"/>
                      <w:marRight w:val="0"/>
                      <w:marTop w:val="0"/>
                      <w:marBottom w:val="0"/>
                      <w:divBdr>
                        <w:top w:val="none" w:sz="0" w:space="0" w:color="auto"/>
                        <w:left w:val="none" w:sz="0" w:space="0" w:color="auto"/>
                        <w:bottom w:val="none" w:sz="0" w:space="0" w:color="auto"/>
                        <w:right w:val="none" w:sz="0" w:space="0" w:color="auto"/>
                      </w:divBdr>
                    </w:div>
                    <w:div w:id="330180061">
                      <w:marLeft w:val="0"/>
                      <w:marRight w:val="0"/>
                      <w:marTop w:val="0"/>
                      <w:marBottom w:val="0"/>
                      <w:divBdr>
                        <w:top w:val="none" w:sz="0" w:space="0" w:color="auto"/>
                        <w:left w:val="none" w:sz="0" w:space="0" w:color="auto"/>
                        <w:bottom w:val="none" w:sz="0" w:space="0" w:color="auto"/>
                        <w:right w:val="none" w:sz="0" w:space="0" w:color="auto"/>
                      </w:divBdr>
                      <w:divsChild>
                        <w:div w:id="1193154038">
                          <w:marLeft w:val="0"/>
                          <w:marRight w:val="0"/>
                          <w:marTop w:val="0"/>
                          <w:marBottom w:val="0"/>
                          <w:divBdr>
                            <w:top w:val="none" w:sz="0" w:space="0" w:color="auto"/>
                            <w:left w:val="none" w:sz="0" w:space="0" w:color="auto"/>
                            <w:bottom w:val="none" w:sz="0" w:space="0" w:color="auto"/>
                            <w:right w:val="none" w:sz="0" w:space="0" w:color="auto"/>
                          </w:divBdr>
                        </w:div>
                      </w:divsChild>
                    </w:div>
                    <w:div w:id="776565910">
                      <w:marLeft w:val="0"/>
                      <w:marRight w:val="0"/>
                      <w:marTop w:val="0"/>
                      <w:marBottom w:val="0"/>
                      <w:divBdr>
                        <w:top w:val="none" w:sz="0" w:space="0" w:color="auto"/>
                        <w:left w:val="none" w:sz="0" w:space="0" w:color="auto"/>
                        <w:bottom w:val="none" w:sz="0" w:space="0" w:color="auto"/>
                        <w:right w:val="none" w:sz="0" w:space="0" w:color="auto"/>
                      </w:divBdr>
                    </w:div>
                    <w:div w:id="150361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293275">
      <w:bodyDiv w:val="1"/>
      <w:marLeft w:val="0"/>
      <w:marRight w:val="0"/>
      <w:marTop w:val="0"/>
      <w:marBottom w:val="0"/>
      <w:divBdr>
        <w:top w:val="none" w:sz="0" w:space="0" w:color="auto"/>
        <w:left w:val="none" w:sz="0" w:space="0" w:color="auto"/>
        <w:bottom w:val="none" w:sz="0" w:space="0" w:color="auto"/>
        <w:right w:val="none" w:sz="0" w:space="0" w:color="auto"/>
      </w:divBdr>
      <w:divsChild>
        <w:div w:id="763766088">
          <w:marLeft w:val="0"/>
          <w:marRight w:val="0"/>
          <w:marTop w:val="0"/>
          <w:marBottom w:val="0"/>
          <w:divBdr>
            <w:top w:val="none" w:sz="0" w:space="0" w:color="auto"/>
            <w:left w:val="none" w:sz="0" w:space="0" w:color="auto"/>
            <w:bottom w:val="none" w:sz="0" w:space="0" w:color="auto"/>
            <w:right w:val="none" w:sz="0" w:space="0" w:color="auto"/>
          </w:divBdr>
        </w:div>
        <w:div w:id="1325276319">
          <w:marLeft w:val="0"/>
          <w:marRight w:val="0"/>
          <w:marTop w:val="0"/>
          <w:marBottom w:val="0"/>
          <w:divBdr>
            <w:top w:val="none" w:sz="0" w:space="0" w:color="auto"/>
            <w:left w:val="none" w:sz="0" w:space="0" w:color="auto"/>
            <w:bottom w:val="none" w:sz="0" w:space="0" w:color="auto"/>
            <w:right w:val="none" w:sz="0" w:space="0" w:color="auto"/>
          </w:divBdr>
          <w:divsChild>
            <w:div w:id="1503277185">
              <w:marLeft w:val="0"/>
              <w:marRight w:val="0"/>
              <w:marTop w:val="0"/>
              <w:marBottom w:val="0"/>
              <w:divBdr>
                <w:top w:val="none" w:sz="0" w:space="0" w:color="auto"/>
                <w:left w:val="none" w:sz="0" w:space="0" w:color="auto"/>
                <w:bottom w:val="none" w:sz="0" w:space="0" w:color="auto"/>
                <w:right w:val="none" w:sz="0" w:space="0" w:color="auto"/>
              </w:divBdr>
            </w:div>
            <w:div w:id="639043737">
              <w:marLeft w:val="0"/>
              <w:marRight w:val="0"/>
              <w:marTop w:val="0"/>
              <w:marBottom w:val="0"/>
              <w:divBdr>
                <w:top w:val="none" w:sz="0" w:space="0" w:color="auto"/>
                <w:left w:val="none" w:sz="0" w:space="0" w:color="auto"/>
                <w:bottom w:val="none" w:sz="0" w:space="0" w:color="auto"/>
                <w:right w:val="none" w:sz="0" w:space="0" w:color="auto"/>
              </w:divBdr>
              <w:divsChild>
                <w:div w:id="183141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89406">
          <w:marLeft w:val="0"/>
          <w:marRight w:val="0"/>
          <w:marTop w:val="0"/>
          <w:marBottom w:val="0"/>
          <w:divBdr>
            <w:top w:val="none" w:sz="0" w:space="0" w:color="auto"/>
            <w:left w:val="none" w:sz="0" w:space="0" w:color="auto"/>
            <w:bottom w:val="none" w:sz="0" w:space="0" w:color="auto"/>
            <w:right w:val="none" w:sz="0" w:space="0" w:color="auto"/>
          </w:divBdr>
          <w:divsChild>
            <w:div w:id="67850773">
              <w:marLeft w:val="0"/>
              <w:marRight w:val="0"/>
              <w:marTop w:val="0"/>
              <w:marBottom w:val="0"/>
              <w:divBdr>
                <w:top w:val="none" w:sz="0" w:space="0" w:color="auto"/>
                <w:left w:val="none" w:sz="0" w:space="0" w:color="auto"/>
                <w:bottom w:val="none" w:sz="0" w:space="0" w:color="auto"/>
                <w:right w:val="none" w:sz="0" w:space="0" w:color="auto"/>
              </w:divBdr>
            </w:div>
          </w:divsChild>
        </w:div>
        <w:div w:id="1513716942">
          <w:marLeft w:val="0"/>
          <w:marRight w:val="0"/>
          <w:marTop w:val="0"/>
          <w:marBottom w:val="0"/>
          <w:divBdr>
            <w:top w:val="none" w:sz="0" w:space="0" w:color="auto"/>
            <w:left w:val="none" w:sz="0" w:space="0" w:color="auto"/>
            <w:bottom w:val="none" w:sz="0" w:space="0" w:color="auto"/>
            <w:right w:val="none" w:sz="0" w:space="0" w:color="auto"/>
          </w:divBdr>
          <w:divsChild>
            <w:div w:id="510873588">
              <w:marLeft w:val="0"/>
              <w:marRight w:val="0"/>
              <w:marTop w:val="0"/>
              <w:marBottom w:val="0"/>
              <w:divBdr>
                <w:top w:val="none" w:sz="0" w:space="0" w:color="auto"/>
                <w:left w:val="none" w:sz="0" w:space="0" w:color="auto"/>
                <w:bottom w:val="none" w:sz="0" w:space="0" w:color="auto"/>
                <w:right w:val="none" w:sz="0" w:space="0" w:color="auto"/>
              </w:divBdr>
            </w:div>
          </w:divsChild>
        </w:div>
        <w:div w:id="1204950645">
          <w:marLeft w:val="0"/>
          <w:marRight w:val="0"/>
          <w:marTop w:val="0"/>
          <w:marBottom w:val="0"/>
          <w:divBdr>
            <w:top w:val="none" w:sz="0" w:space="0" w:color="auto"/>
            <w:left w:val="none" w:sz="0" w:space="0" w:color="auto"/>
            <w:bottom w:val="none" w:sz="0" w:space="0" w:color="auto"/>
            <w:right w:val="none" w:sz="0" w:space="0" w:color="auto"/>
          </w:divBdr>
          <w:divsChild>
            <w:div w:id="249849141">
              <w:marLeft w:val="0"/>
              <w:marRight w:val="0"/>
              <w:marTop w:val="0"/>
              <w:marBottom w:val="0"/>
              <w:divBdr>
                <w:top w:val="none" w:sz="0" w:space="0" w:color="auto"/>
                <w:left w:val="none" w:sz="0" w:space="0" w:color="auto"/>
                <w:bottom w:val="none" w:sz="0" w:space="0" w:color="auto"/>
                <w:right w:val="none" w:sz="0" w:space="0" w:color="auto"/>
              </w:divBdr>
            </w:div>
          </w:divsChild>
        </w:div>
        <w:div w:id="1616984480">
          <w:marLeft w:val="0"/>
          <w:marRight w:val="0"/>
          <w:marTop w:val="0"/>
          <w:marBottom w:val="0"/>
          <w:divBdr>
            <w:top w:val="none" w:sz="0" w:space="0" w:color="auto"/>
            <w:left w:val="none" w:sz="0" w:space="0" w:color="auto"/>
            <w:bottom w:val="none" w:sz="0" w:space="0" w:color="auto"/>
            <w:right w:val="none" w:sz="0" w:space="0" w:color="auto"/>
          </w:divBdr>
          <w:divsChild>
            <w:div w:id="1666088781">
              <w:marLeft w:val="0"/>
              <w:marRight w:val="0"/>
              <w:marTop w:val="0"/>
              <w:marBottom w:val="0"/>
              <w:divBdr>
                <w:top w:val="none" w:sz="0" w:space="0" w:color="auto"/>
                <w:left w:val="none" w:sz="0" w:space="0" w:color="auto"/>
                <w:bottom w:val="none" w:sz="0" w:space="0" w:color="auto"/>
                <w:right w:val="none" w:sz="0" w:space="0" w:color="auto"/>
              </w:divBdr>
              <w:divsChild>
                <w:div w:id="134184404">
                  <w:marLeft w:val="0"/>
                  <w:marRight w:val="0"/>
                  <w:marTop w:val="0"/>
                  <w:marBottom w:val="0"/>
                  <w:divBdr>
                    <w:top w:val="none" w:sz="0" w:space="0" w:color="auto"/>
                    <w:left w:val="none" w:sz="0" w:space="0" w:color="auto"/>
                    <w:bottom w:val="none" w:sz="0" w:space="0" w:color="auto"/>
                    <w:right w:val="none" w:sz="0" w:space="0" w:color="auto"/>
                  </w:divBdr>
                </w:div>
              </w:divsChild>
            </w:div>
            <w:div w:id="188181037">
              <w:marLeft w:val="0"/>
              <w:marRight w:val="0"/>
              <w:marTop w:val="0"/>
              <w:marBottom w:val="0"/>
              <w:divBdr>
                <w:top w:val="none" w:sz="0" w:space="0" w:color="auto"/>
                <w:left w:val="none" w:sz="0" w:space="0" w:color="auto"/>
                <w:bottom w:val="none" w:sz="0" w:space="0" w:color="auto"/>
                <w:right w:val="none" w:sz="0" w:space="0" w:color="auto"/>
              </w:divBdr>
              <w:divsChild>
                <w:div w:id="152189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850210">
      <w:bodyDiv w:val="1"/>
      <w:marLeft w:val="0"/>
      <w:marRight w:val="0"/>
      <w:marTop w:val="0"/>
      <w:marBottom w:val="0"/>
      <w:divBdr>
        <w:top w:val="none" w:sz="0" w:space="0" w:color="auto"/>
        <w:left w:val="none" w:sz="0" w:space="0" w:color="auto"/>
        <w:bottom w:val="none" w:sz="0" w:space="0" w:color="auto"/>
        <w:right w:val="none" w:sz="0" w:space="0" w:color="auto"/>
      </w:divBdr>
      <w:divsChild>
        <w:div w:id="1478064607">
          <w:marLeft w:val="0"/>
          <w:marRight w:val="0"/>
          <w:marTop w:val="0"/>
          <w:marBottom w:val="0"/>
          <w:divBdr>
            <w:top w:val="none" w:sz="0" w:space="0" w:color="auto"/>
            <w:left w:val="none" w:sz="0" w:space="0" w:color="auto"/>
            <w:bottom w:val="none" w:sz="0" w:space="0" w:color="auto"/>
            <w:right w:val="none" w:sz="0" w:space="0" w:color="auto"/>
          </w:divBdr>
          <w:divsChild>
            <w:div w:id="1077363159">
              <w:marLeft w:val="0"/>
              <w:marRight w:val="0"/>
              <w:marTop w:val="0"/>
              <w:marBottom w:val="0"/>
              <w:divBdr>
                <w:top w:val="none" w:sz="0" w:space="0" w:color="auto"/>
                <w:left w:val="none" w:sz="0" w:space="0" w:color="auto"/>
                <w:bottom w:val="none" w:sz="0" w:space="0" w:color="auto"/>
                <w:right w:val="none" w:sz="0" w:space="0" w:color="auto"/>
              </w:divBdr>
              <w:divsChild>
                <w:div w:id="1927953153">
                  <w:marLeft w:val="0"/>
                  <w:marRight w:val="0"/>
                  <w:marTop w:val="0"/>
                  <w:marBottom w:val="0"/>
                  <w:divBdr>
                    <w:top w:val="none" w:sz="0" w:space="0" w:color="auto"/>
                    <w:left w:val="none" w:sz="0" w:space="0" w:color="auto"/>
                    <w:bottom w:val="none" w:sz="0" w:space="0" w:color="auto"/>
                    <w:right w:val="none" w:sz="0" w:space="0" w:color="auto"/>
                  </w:divBdr>
                </w:div>
              </w:divsChild>
            </w:div>
            <w:div w:id="1612316978">
              <w:marLeft w:val="0"/>
              <w:marRight w:val="0"/>
              <w:marTop w:val="0"/>
              <w:marBottom w:val="0"/>
              <w:divBdr>
                <w:top w:val="none" w:sz="0" w:space="0" w:color="auto"/>
                <w:left w:val="none" w:sz="0" w:space="0" w:color="auto"/>
                <w:bottom w:val="none" w:sz="0" w:space="0" w:color="auto"/>
                <w:right w:val="none" w:sz="0" w:space="0" w:color="auto"/>
              </w:divBdr>
              <w:divsChild>
                <w:div w:id="278882350">
                  <w:marLeft w:val="0"/>
                  <w:marRight w:val="0"/>
                  <w:marTop w:val="0"/>
                  <w:marBottom w:val="0"/>
                  <w:divBdr>
                    <w:top w:val="none" w:sz="0" w:space="0" w:color="auto"/>
                    <w:left w:val="none" w:sz="0" w:space="0" w:color="auto"/>
                    <w:bottom w:val="none" w:sz="0" w:space="0" w:color="auto"/>
                    <w:right w:val="none" w:sz="0" w:space="0" w:color="auto"/>
                  </w:divBdr>
                  <w:divsChild>
                    <w:div w:id="164083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520877">
          <w:marLeft w:val="0"/>
          <w:marRight w:val="0"/>
          <w:marTop w:val="0"/>
          <w:marBottom w:val="0"/>
          <w:divBdr>
            <w:top w:val="none" w:sz="0" w:space="0" w:color="auto"/>
            <w:left w:val="none" w:sz="0" w:space="0" w:color="auto"/>
            <w:bottom w:val="none" w:sz="0" w:space="0" w:color="auto"/>
            <w:right w:val="none" w:sz="0" w:space="0" w:color="auto"/>
          </w:divBdr>
          <w:divsChild>
            <w:div w:id="267351671">
              <w:marLeft w:val="0"/>
              <w:marRight w:val="0"/>
              <w:marTop w:val="0"/>
              <w:marBottom w:val="0"/>
              <w:divBdr>
                <w:top w:val="none" w:sz="0" w:space="0" w:color="auto"/>
                <w:left w:val="none" w:sz="0" w:space="0" w:color="auto"/>
                <w:bottom w:val="none" w:sz="0" w:space="0" w:color="auto"/>
                <w:right w:val="none" w:sz="0" w:space="0" w:color="auto"/>
              </w:divBdr>
              <w:divsChild>
                <w:div w:id="399063329">
                  <w:marLeft w:val="0"/>
                  <w:marRight w:val="0"/>
                  <w:marTop w:val="0"/>
                  <w:marBottom w:val="0"/>
                  <w:divBdr>
                    <w:top w:val="none" w:sz="0" w:space="0" w:color="auto"/>
                    <w:left w:val="none" w:sz="0" w:space="0" w:color="auto"/>
                    <w:bottom w:val="none" w:sz="0" w:space="0" w:color="auto"/>
                    <w:right w:val="none" w:sz="0" w:space="0" w:color="auto"/>
                  </w:divBdr>
                </w:div>
                <w:div w:id="1460219517">
                  <w:marLeft w:val="0"/>
                  <w:marRight w:val="0"/>
                  <w:marTop w:val="0"/>
                  <w:marBottom w:val="0"/>
                  <w:divBdr>
                    <w:top w:val="none" w:sz="0" w:space="0" w:color="auto"/>
                    <w:left w:val="none" w:sz="0" w:space="0" w:color="auto"/>
                    <w:bottom w:val="none" w:sz="0" w:space="0" w:color="auto"/>
                    <w:right w:val="none" w:sz="0" w:space="0" w:color="auto"/>
                  </w:divBdr>
                  <w:divsChild>
                    <w:div w:id="212231624">
                      <w:marLeft w:val="0"/>
                      <w:marRight w:val="0"/>
                      <w:marTop w:val="0"/>
                      <w:marBottom w:val="0"/>
                      <w:divBdr>
                        <w:top w:val="none" w:sz="0" w:space="0" w:color="auto"/>
                        <w:left w:val="none" w:sz="0" w:space="0" w:color="auto"/>
                        <w:bottom w:val="none" w:sz="0" w:space="0" w:color="auto"/>
                        <w:right w:val="none" w:sz="0" w:space="0" w:color="auto"/>
                      </w:divBdr>
                      <w:divsChild>
                        <w:div w:id="58276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848466">
          <w:marLeft w:val="0"/>
          <w:marRight w:val="0"/>
          <w:marTop w:val="0"/>
          <w:marBottom w:val="0"/>
          <w:divBdr>
            <w:top w:val="none" w:sz="0" w:space="0" w:color="auto"/>
            <w:left w:val="none" w:sz="0" w:space="0" w:color="auto"/>
            <w:bottom w:val="none" w:sz="0" w:space="0" w:color="auto"/>
            <w:right w:val="none" w:sz="0" w:space="0" w:color="auto"/>
          </w:divBdr>
          <w:divsChild>
            <w:div w:id="398134435">
              <w:marLeft w:val="0"/>
              <w:marRight w:val="0"/>
              <w:marTop w:val="0"/>
              <w:marBottom w:val="0"/>
              <w:divBdr>
                <w:top w:val="none" w:sz="0" w:space="0" w:color="auto"/>
                <w:left w:val="none" w:sz="0" w:space="0" w:color="auto"/>
                <w:bottom w:val="none" w:sz="0" w:space="0" w:color="auto"/>
                <w:right w:val="none" w:sz="0" w:space="0" w:color="auto"/>
              </w:divBdr>
            </w:div>
            <w:div w:id="1394892629">
              <w:marLeft w:val="0"/>
              <w:marRight w:val="0"/>
              <w:marTop w:val="0"/>
              <w:marBottom w:val="0"/>
              <w:divBdr>
                <w:top w:val="none" w:sz="0" w:space="0" w:color="auto"/>
                <w:left w:val="none" w:sz="0" w:space="0" w:color="auto"/>
                <w:bottom w:val="none" w:sz="0" w:space="0" w:color="auto"/>
                <w:right w:val="none" w:sz="0" w:space="0" w:color="auto"/>
              </w:divBdr>
            </w:div>
            <w:div w:id="1829705483">
              <w:marLeft w:val="0"/>
              <w:marRight w:val="0"/>
              <w:marTop w:val="0"/>
              <w:marBottom w:val="0"/>
              <w:divBdr>
                <w:top w:val="none" w:sz="0" w:space="0" w:color="auto"/>
                <w:left w:val="none" w:sz="0" w:space="0" w:color="auto"/>
                <w:bottom w:val="none" w:sz="0" w:space="0" w:color="auto"/>
                <w:right w:val="none" w:sz="0" w:space="0" w:color="auto"/>
              </w:divBdr>
            </w:div>
            <w:div w:id="1603218203">
              <w:marLeft w:val="0"/>
              <w:marRight w:val="0"/>
              <w:marTop w:val="0"/>
              <w:marBottom w:val="0"/>
              <w:divBdr>
                <w:top w:val="none" w:sz="0" w:space="0" w:color="auto"/>
                <w:left w:val="none" w:sz="0" w:space="0" w:color="auto"/>
                <w:bottom w:val="none" w:sz="0" w:space="0" w:color="auto"/>
                <w:right w:val="none" w:sz="0" w:space="0" w:color="auto"/>
              </w:divBdr>
              <w:divsChild>
                <w:div w:id="499128327">
                  <w:marLeft w:val="0"/>
                  <w:marRight w:val="0"/>
                  <w:marTop w:val="0"/>
                  <w:marBottom w:val="0"/>
                  <w:divBdr>
                    <w:top w:val="none" w:sz="0" w:space="0" w:color="auto"/>
                    <w:left w:val="none" w:sz="0" w:space="0" w:color="auto"/>
                    <w:bottom w:val="none" w:sz="0" w:space="0" w:color="auto"/>
                    <w:right w:val="none" w:sz="0" w:space="0" w:color="auto"/>
                  </w:divBdr>
                </w:div>
              </w:divsChild>
            </w:div>
            <w:div w:id="1397439213">
              <w:marLeft w:val="0"/>
              <w:marRight w:val="0"/>
              <w:marTop w:val="0"/>
              <w:marBottom w:val="0"/>
              <w:divBdr>
                <w:top w:val="none" w:sz="0" w:space="0" w:color="auto"/>
                <w:left w:val="none" w:sz="0" w:space="0" w:color="auto"/>
                <w:bottom w:val="none" w:sz="0" w:space="0" w:color="auto"/>
                <w:right w:val="none" w:sz="0" w:space="0" w:color="auto"/>
              </w:divBdr>
              <w:divsChild>
                <w:div w:id="848564164">
                  <w:marLeft w:val="0"/>
                  <w:marRight w:val="0"/>
                  <w:marTop w:val="0"/>
                  <w:marBottom w:val="0"/>
                  <w:divBdr>
                    <w:top w:val="none" w:sz="0" w:space="0" w:color="auto"/>
                    <w:left w:val="none" w:sz="0" w:space="0" w:color="auto"/>
                    <w:bottom w:val="none" w:sz="0" w:space="0" w:color="auto"/>
                    <w:right w:val="none" w:sz="0" w:space="0" w:color="auto"/>
                  </w:divBdr>
                </w:div>
              </w:divsChild>
            </w:div>
            <w:div w:id="817649065">
              <w:marLeft w:val="0"/>
              <w:marRight w:val="0"/>
              <w:marTop w:val="0"/>
              <w:marBottom w:val="0"/>
              <w:divBdr>
                <w:top w:val="none" w:sz="0" w:space="0" w:color="auto"/>
                <w:left w:val="none" w:sz="0" w:space="0" w:color="auto"/>
                <w:bottom w:val="none" w:sz="0" w:space="0" w:color="auto"/>
                <w:right w:val="none" w:sz="0" w:space="0" w:color="auto"/>
              </w:divBdr>
              <w:divsChild>
                <w:div w:id="917863440">
                  <w:marLeft w:val="0"/>
                  <w:marRight w:val="0"/>
                  <w:marTop w:val="0"/>
                  <w:marBottom w:val="0"/>
                  <w:divBdr>
                    <w:top w:val="none" w:sz="0" w:space="0" w:color="auto"/>
                    <w:left w:val="none" w:sz="0" w:space="0" w:color="auto"/>
                    <w:bottom w:val="none" w:sz="0" w:space="0" w:color="auto"/>
                    <w:right w:val="none" w:sz="0" w:space="0" w:color="auto"/>
                  </w:divBdr>
                </w:div>
              </w:divsChild>
            </w:div>
            <w:div w:id="1451507840">
              <w:marLeft w:val="0"/>
              <w:marRight w:val="0"/>
              <w:marTop w:val="0"/>
              <w:marBottom w:val="0"/>
              <w:divBdr>
                <w:top w:val="none" w:sz="0" w:space="0" w:color="auto"/>
                <w:left w:val="none" w:sz="0" w:space="0" w:color="auto"/>
                <w:bottom w:val="none" w:sz="0" w:space="0" w:color="auto"/>
                <w:right w:val="none" w:sz="0" w:space="0" w:color="auto"/>
              </w:divBdr>
            </w:div>
            <w:div w:id="172651946">
              <w:marLeft w:val="0"/>
              <w:marRight w:val="0"/>
              <w:marTop w:val="0"/>
              <w:marBottom w:val="0"/>
              <w:divBdr>
                <w:top w:val="none" w:sz="0" w:space="0" w:color="auto"/>
                <w:left w:val="none" w:sz="0" w:space="0" w:color="auto"/>
                <w:bottom w:val="none" w:sz="0" w:space="0" w:color="auto"/>
                <w:right w:val="none" w:sz="0" w:space="0" w:color="auto"/>
              </w:divBdr>
            </w:div>
            <w:div w:id="1583249115">
              <w:marLeft w:val="0"/>
              <w:marRight w:val="0"/>
              <w:marTop w:val="0"/>
              <w:marBottom w:val="0"/>
              <w:divBdr>
                <w:top w:val="none" w:sz="0" w:space="0" w:color="auto"/>
                <w:left w:val="none" w:sz="0" w:space="0" w:color="auto"/>
                <w:bottom w:val="none" w:sz="0" w:space="0" w:color="auto"/>
                <w:right w:val="none" w:sz="0" w:space="0" w:color="auto"/>
              </w:divBdr>
              <w:divsChild>
                <w:div w:id="6366543">
                  <w:marLeft w:val="0"/>
                  <w:marRight w:val="0"/>
                  <w:marTop w:val="0"/>
                  <w:marBottom w:val="0"/>
                  <w:divBdr>
                    <w:top w:val="none" w:sz="0" w:space="0" w:color="auto"/>
                    <w:left w:val="none" w:sz="0" w:space="0" w:color="auto"/>
                    <w:bottom w:val="none" w:sz="0" w:space="0" w:color="auto"/>
                    <w:right w:val="none" w:sz="0" w:space="0" w:color="auto"/>
                  </w:divBdr>
                  <w:divsChild>
                    <w:div w:id="95016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801984">
          <w:marLeft w:val="0"/>
          <w:marRight w:val="0"/>
          <w:marTop w:val="0"/>
          <w:marBottom w:val="0"/>
          <w:divBdr>
            <w:top w:val="none" w:sz="0" w:space="0" w:color="auto"/>
            <w:left w:val="none" w:sz="0" w:space="0" w:color="auto"/>
            <w:bottom w:val="none" w:sz="0" w:space="0" w:color="auto"/>
            <w:right w:val="none" w:sz="0" w:space="0" w:color="auto"/>
          </w:divBdr>
        </w:div>
      </w:divsChild>
    </w:div>
    <w:div w:id="1588151460">
      <w:bodyDiv w:val="1"/>
      <w:marLeft w:val="0"/>
      <w:marRight w:val="0"/>
      <w:marTop w:val="0"/>
      <w:marBottom w:val="0"/>
      <w:divBdr>
        <w:top w:val="none" w:sz="0" w:space="0" w:color="auto"/>
        <w:left w:val="none" w:sz="0" w:space="0" w:color="auto"/>
        <w:bottom w:val="none" w:sz="0" w:space="0" w:color="auto"/>
        <w:right w:val="none" w:sz="0" w:space="0" w:color="auto"/>
      </w:divBdr>
      <w:divsChild>
        <w:div w:id="1895773937">
          <w:marLeft w:val="0"/>
          <w:marRight w:val="0"/>
          <w:marTop w:val="0"/>
          <w:marBottom w:val="0"/>
          <w:divBdr>
            <w:top w:val="none" w:sz="0" w:space="0" w:color="auto"/>
            <w:left w:val="none" w:sz="0" w:space="0" w:color="auto"/>
            <w:bottom w:val="none" w:sz="0" w:space="0" w:color="auto"/>
            <w:right w:val="none" w:sz="0" w:space="0" w:color="auto"/>
          </w:divBdr>
          <w:divsChild>
            <w:div w:id="163135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857763">
      <w:bodyDiv w:val="1"/>
      <w:marLeft w:val="0"/>
      <w:marRight w:val="0"/>
      <w:marTop w:val="0"/>
      <w:marBottom w:val="0"/>
      <w:divBdr>
        <w:top w:val="none" w:sz="0" w:space="0" w:color="auto"/>
        <w:left w:val="none" w:sz="0" w:space="0" w:color="auto"/>
        <w:bottom w:val="none" w:sz="0" w:space="0" w:color="auto"/>
        <w:right w:val="none" w:sz="0" w:space="0" w:color="auto"/>
      </w:divBdr>
      <w:divsChild>
        <w:div w:id="1178470900">
          <w:marLeft w:val="0"/>
          <w:marRight w:val="0"/>
          <w:marTop w:val="0"/>
          <w:marBottom w:val="0"/>
          <w:divBdr>
            <w:top w:val="none" w:sz="0" w:space="0" w:color="auto"/>
            <w:left w:val="none" w:sz="0" w:space="0" w:color="auto"/>
            <w:bottom w:val="none" w:sz="0" w:space="0" w:color="auto"/>
            <w:right w:val="none" w:sz="0" w:space="0" w:color="auto"/>
          </w:divBdr>
        </w:div>
        <w:div w:id="1455247946">
          <w:marLeft w:val="0"/>
          <w:marRight w:val="0"/>
          <w:marTop w:val="0"/>
          <w:marBottom w:val="0"/>
          <w:divBdr>
            <w:top w:val="none" w:sz="0" w:space="0" w:color="auto"/>
            <w:left w:val="none" w:sz="0" w:space="0" w:color="auto"/>
            <w:bottom w:val="none" w:sz="0" w:space="0" w:color="auto"/>
            <w:right w:val="none" w:sz="0" w:space="0" w:color="auto"/>
          </w:divBdr>
          <w:divsChild>
            <w:div w:id="1328897209">
              <w:marLeft w:val="0"/>
              <w:marRight w:val="0"/>
              <w:marTop w:val="0"/>
              <w:marBottom w:val="0"/>
              <w:divBdr>
                <w:top w:val="none" w:sz="0" w:space="0" w:color="auto"/>
                <w:left w:val="none" w:sz="0" w:space="0" w:color="auto"/>
                <w:bottom w:val="none" w:sz="0" w:space="0" w:color="auto"/>
                <w:right w:val="none" w:sz="0" w:space="0" w:color="auto"/>
              </w:divBdr>
              <w:divsChild>
                <w:div w:id="157450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265828">
      <w:bodyDiv w:val="1"/>
      <w:marLeft w:val="0"/>
      <w:marRight w:val="0"/>
      <w:marTop w:val="0"/>
      <w:marBottom w:val="0"/>
      <w:divBdr>
        <w:top w:val="none" w:sz="0" w:space="0" w:color="auto"/>
        <w:left w:val="none" w:sz="0" w:space="0" w:color="auto"/>
        <w:bottom w:val="none" w:sz="0" w:space="0" w:color="auto"/>
        <w:right w:val="none" w:sz="0" w:space="0" w:color="auto"/>
      </w:divBdr>
      <w:divsChild>
        <w:div w:id="171602785">
          <w:marLeft w:val="0"/>
          <w:marRight w:val="0"/>
          <w:marTop w:val="0"/>
          <w:marBottom w:val="0"/>
          <w:divBdr>
            <w:top w:val="none" w:sz="0" w:space="0" w:color="auto"/>
            <w:left w:val="none" w:sz="0" w:space="0" w:color="auto"/>
            <w:bottom w:val="none" w:sz="0" w:space="0" w:color="auto"/>
            <w:right w:val="none" w:sz="0" w:space="0" w:color="auto"/>
          </w:divBdr>
          <w:divsChild>
            <w:div w:id="169948617">
              <w:marLeft w:val="0"/>
              <w:marRight w:val="0"/>
              <w:marTop w:val="0"/>
              <w:marBottom w:val="0"/>
              <w:divBdr>
                <w:top w:val="none" w:sz="0" w:space="0" w:color="auto"/>
                <w:left w:val="none" w:sz="0" w:space="0" w:color="auto"/>
                <w:bottom w:val="none" w:sz="0" w:space="0" w:color="auto"/>
                <w:right w:val="none" w:sz="0" w:space="0" w:color="auto"/>
              </w:divBdr>
              <w:divsChild>
                <w:div w:id="95775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321">
          <w:marLeft w:val="0"/>
          <w:marRight w:val="0"/>
          <w:marTop w:val="0"/>
          <w:marBottom w:val="0"/>
          <w:divBdr>
            <w:top w:val="none" w:sz="0" w:space="0" w:color="auto"/>
            <w:left w:val="none" w:sz="0" w:space="0" w:color="auto"/>
            <w:bottom w:val="none" w:sz="0" w:space="0" w:color="auto"/>
            <w:right w:val="none" w:sz="0" w:space="0" w:color="auto"/>
          </w:divBdr>
          <w:divsChild>
            <w:div w:id="1889754121">
              <w:marLeft w:val="0"/>
              <w:marRight w:val="0"/>
              <w:marTop w:val="0"/>
              <w:marBottom w:val="0"/>
              <w:divBdr>
                <w:top w:val="none" w:sz="0" w:space="0" w:color="auto"/>
                <w:left w:val="none" w:sz="0" w:space="0" w:color="auto"/>
                <w:bottom w:val="none" w:sz="0" w:space="0" w:color="auto"/>
                <w:right w:val="none" w:sz="0" w:space="0" w:color="auto"/>
              </w:divBdr>
            </w:div>
          </w:divsChild>
        </w:div>
        <w:div w:id="1982034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emf"/><Relationship Id="rId26" Type="http://schemas.openxmlformats.org/officeDocument/2006/relationships/image" Target="media/image20.emf"/><Relationship Id="rId3" Type="http://schemas.microsoft.com/office/2007/relationships/stylesWithEffects" Target="stylesWithEffects.xml"/><Relationship Id="rId21" Type="http://schemas.openxmlformats.org/officeDocument/2006/relationships/image" Target="media/image16.emf"/><Relationship Id="rId7" Type="http://schemas.openxmlformats.org/officeDocument/2006/relationships/image" Target="media/image2.png"/><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1.emf"/><Relationship Id="rId20" Type="http://schemas.openxmlformats.org/officeDocument/2006/relationships/image" Target="media/image15.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emf"/><Relationship Id="rId24"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hyperlink" Target="https://youtu.be/5s2cm2sNk9U?list=PLsK0u2A-MdN3GHriwcKLOCarNpt8TBdRf" TargetMode="External"/><Relationship Id="rId28" Type="http://schemas.openxmlformats.org/officeDocument/2006/relationships/image" Target="media/image22.emf"/><Relationship Id="rId10" Type="http://schemas.openxmlformats.org/officeDocument/2006/relationships/image" Target="media/image5.emf"/><Relationship Id="rId19" Type="http://schemas.openxmlformats.org/officeDocument/2006/relationships/image" Target="media/image14.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7.emf"/><Relationship Id="rId27" Type="http://schemas.openxmlformats.org/officeDocument/2006/relationships/image" Target="media/image21.e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2647</Words>
  <Characters>15090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Chauvin</dc:creator>
  <cp:lastModifiedBy>Prof Chauvin</cp:lastModifiedBy>
  <cp:revision>2</cp:revision>
  <dcterms:created xsi:type="dcterms:W3CDTF">2016-08-13T18:53:00Z</dcterms:created>
  <dcterms:modified xsi:type="dcterms:W3CDTF">2016-08-13T18:53:00Z</dcterms:modified>
</cp:coreProperties>
</file>