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CF76" w14:textId="77777777" w:rsidR="00B70A6C" w:rsidRPr="00912775" w:rsidRDefault="00B70A6C">
      <w:pPr>
        <w:rPr>
          <w:sz w:val="28"/>
          <w:szCs w:val="28"/>
        </w:rPr>
      </w:pPr>
    </w:p>
    <w:p w14:paraId="0A6C28BC" w14:textId="082EAC04" w:rsidR="00D62834" w:rsidRDefault="00D62834" w:rsidP="000D671A">
      <w:pPr>
        <w:spacing w:before="240" w:after="144" w:line="240" w:lineRule="auto"/>
        <w:jc w:val="center"/>
        <w:outlineLvl w:val="1"/>
        <w:rPr>
          <w:rFonts w:eastAsia="Times New Roman" w:cstheme="minorHAnsi"/>
          <w:b/>
          <w:bCs/>
          <w:color w:val="000000"/>
          <w:sz w:val="28"/>
          <w:szCs w:val="28"/>
        </w:rPr>
      </w:pPr>
      <w:r w:rsidRPr="00912775">
        <w:rPr>
          <w:rFonts w:eastAsia="Times New Roman" w:cstheme="minorHAnsi"/>
          <w:b/>
          <w:bCs/>
          <w:color w:val="000000"/>
          <w:sz w:val="28"/>
          <w:szCs w:val="28"/>
        </w:rPr>
        <w:t>CONVERSION FROM FUND FINANCIAL RECORDS TO GOVERNMENT-WIDE FINANCIAL STATEMENTS</w:t>
      </w:r>
    </w:p>
    <w:p w14:paraId="0677A01D" w14:textId="553FBAB2" w:rsidR="002E7502" w:rsidRPr="00912775" w:rsidRDefault="002E7502">
      <w:pPr>
        <w:rPr>
          <w:sz w:val="28"/>
          <w:szCs w:val="28"/>
        </w:rPr>
      </w:pPr>
      <w:r w:rsidRPr="00912775">
        <w:rPr>
          <w:rFonts w:cstheme="minorHAnsi"/>
          <w:noProof/>
          <w:sz w:val="28"/>
          <w:szCs w:val="28"/>
        </w:rPr>
        <w:drawing>
          <wp:inline distT="0" distB="0" distL="0" distR="0" wp14:anchorId="6DF34CD4" wp14:editId="018FE41C">
            <wp:extent cx="3943847" cy="502197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6383" cy="5050668"/>
                    </a:xfrm>
                    <a:prstGeom prst="rect">
                      <a:avLst/>
                    </a:prstGeom>
                  </pic:spPr>
                </pic:pic>
              </a:graphicData>
            </a:graphic>
          </wp:inline>
        </w:drawing>
      </w:r>
    </w:p>
    <w:p w14:paraId="7D0C2968" w14:textId="03D93C1A" w:rsidR="003A2035" w:rsidRDefault="003A2035">
      <w:pPr>
        <w:rPr>
          <w:rFonts w:eastAsia="Times New Roman" w:cstheme="minorHAnsi"/>
          <w:color w:val="000000"/>
          <w:sz w:val="28"/>
          <w:szCs w:val="28"/>
        </w:rPr>
      </w:pPr>
    </w:p>
    <w:p w14:paraId="62381665" w14:textId="1689597C" w:rsidR="003A2035" w:rsidRDefault="003A2035" w:rsidP="00127500">
      <w:pPr>
        <w:rPr>
          <w:rFonts w:cstheme="minorHAnsi"/>
          <w:b/>
          <w:bCs/>
          <w:color w:val="000000"/>
          <w:sz w:val="28"/>
          <w:szCs w:val="28"/>
        </w:rPr>
      </w:pPr>
      <w:r>
        <w:rPr>
          <w:rFonts w:cstheme="minorHAnsi"/>
          <w:b/>
          <w:bCs/>
          <w:color w:val="000000"/>
          <w:sz w:val="28"/>
          <w:szCs w:val="28"/>
        </w:rPr>
        <w:t>The process to convert intra-governmental funds to government-wide</w:t>
      </w:r>
    </w:p>
    <w:p w14:paraId="7CAB9A31" w14:textId="30045658" w:rsidR="003A2035" w:rsidRPr="003A2035" w:rsidRDefault="00C713D8" w:rsidP="003A2035">
      <w:pPr>
        <w:pStyle w:val="ListParagraph"/>
        <w:numPr>
          <w:ilvl w:val="0"/>
          <w:numId w:val="1"/>
        </w:numPr>
        <w:rPr>
          <w:rFonts w:cstheme="minorHAnsi"/>
          <w:color w:val="000000"/>
          <w:sz w:val="28"/>
          <w:szCs w:val="28"/>
        </w:rPr>
      </w:pPr>
      <w:r>
        <w:rPr>
          <w:rFonts w:cstheme="minorHAnsi"/>
          <w:b/>
          <w:bCs/>
          <w:color w:val="000000"/>
          <w:sz w:val="28"/>
          <w:szCs w:val="28"/>
        </w:rPr>
        <w:t xml:space="preserve">Long-term </w:t>
      </w:r>
      <w:r w:rsidR="003A2035">
        <w:rPr>
          <w:rFonts w:cstheme="minorHAnsi"/>
          <w:b/>
          <w:bCs/>
          <w:color w:val="000000"/>
          <w:sz w:val="28"/>
          <w:szCs w:val="28"/>
        </w:rPr>
        <w:t>Capital assets</w:t>
      </w:r>
    </w:p>
    <w:p w14:paraId="20F18D1E" w14:textId="3D1F60B2" w:rsidR="003A2035" w:rsidRDefault="003A2035" w:rsidP="003A2035">
      <w:pPr>
        <w:pStyle w:val="ListParagraph"/>
        <w:numPr>
          <w:ilvl w:val="1"/>
          <w:numId w:val="1"/>
        </w:numPr>
        <w:rPr>
          <w:rFonts w:cstheme="minorHAnsi"/>
          <w:color w:val="000000"/>
          <w:sz w:val="28"/>
          <w:szCs w:val="28"/>
        </w:rPr>
      </w:pPr>
      <w:r>
        <w:rPr>
          <w:rFonts w:cstheme="minorHAnsi"/>
          <w:color w:val="000000"/>
          <w:sz w:val="28"/>
          <w:szCs w:val="28"/>
        </w:rPr>
        <w:t>Assets in existence at the beginning of the year</w:t>
      </w:r>
    </w:p>
    <w:p w14:paraId="60368C86" w14:textId="4B1CE416" w:rsidR="003A2035" w:rsidRDefault="003A2035" w:rsidP="003A2035">
      <w:pPr>
        <w:pStyle w:val="ListParagraph"/>
        <w:numPr>
          <w:ilvl w:val="2"/>
          <w:numId w:val="1"/>
        </w:numPr>
        <w:rPr>
          <w:rFonts w:cstheme="minorHAnsi"/>
          <w:color w:val="000000"/>
          <w:sz w:val="28"/>
          <w:szCs w:val="28"/>
        </w:rPr>
      </w:pPr>
      <w:r w:rsidRPr="003A2035">
        <w:rPr>
          <w:rFonts w:cstheme="minorHAnsi"/>
          <w:color w:val="000000"/>
          <w:sz w:val="28"/>
          <w:szCs w:val="28"/>
        </w:rPr>
        <w:t xml:space="preserve">Add assets </w:t>
      </w:r>
      <w:r w:rsidR="003766CC">
        <w:rPr>
          <w:rFonts w:cstheme="minorHAnsi"/>
          <w:color w:val="000000"/>
          <w:sz w:val="28"/>
          <w:szCs w:val="28"/>
        </w:rPr>
        <w:t xml:space="preserve">(debit) </w:t>
      </w:r>
      <w:r w:rsidRPr="003A2035">
        <w:rPr>
          <w:rFonts w:cstheme="minorHAnsi"/>
          <w:color w:val="000000"/>
          <w:sz w:val="28"/>
          <w:szCs w:val="28"/>
        </w:rPr>
        <w:t xml:space="preserve">and accumulated depreciation </w:t>
      </w:r>
      <w:r w:rsidR="003766CC">
        <w:rPr>
          <w:rFonts w:cstheme="minorHAnsi"/>
          <w:color w:val="000000"/>
          <w:sz w:val="28"/>
          <w:szCs w:val="28"/>
        </w:rPr>
        <w:t xml:space="preserve">(credit) </w:t>
      </w:r>
      <w:r w:rsidRPr="003A2035">
        <w:rPr>
          <w:rFonts w:cstheme="minorHAnsi"/>
          <w:color w:val="000000"/>
          <w:sz w:val="28"/>
          <w:szCs w:val="28"/>
        </w:rPr>
        <w:t>in existence at the beginning of the year</w:t>
      </w:r>
    </w:p>
    <w:p w14:paraId="5AD77774" w14:textId="27B9D7B5" w:rsidR="003A2035" w:rsidRDefault="003A2035" w:rsidP="003A2035">
      <w:pPr>
        <w:pStyle w:val="ListParagraph"/>
        <w:numPr>
          <w:ilvl w:val="2"/>
          <w:numId w:val="1"/>
        </w:numPr>
        <w:rPr>
          <w:rFonts w:cstheme="minorHAnsi"/>
          <w:color w:val="000000"/>
          <w:sz w:val="28"/>
          <w:szCs w:val="28"/>
        </w:rPr>
      </w:pPr>
      <w:r w:rsidRPr="003A2035">
        <w:rPr>
          <w:rFonts w:cstheme="minorHAnsi"/>
          <w:color w:val="000000"/>
          <w:sz w:val="28"/>
          <w:szCs w:val="28"/>
        </w:rPr>
        <w:t>Any difference would be recorded to net position</w:t>
      </w:r>
    </w:p>
    <w:p w14:paraId="1F950B3B" w14:textId="4BFD99F0" w:rsidR="003A2035" w:rsidRDefault="003A2035" w:rsidP="003A2035">
      <w:pPr>
        <w:pStyle w:val="ListParagraph"/>
        <w:numPr>
          <w:ilvl w:val="1"/>
          <w:numId w:val="1"/>
        </w:numPr>
        <w:rPr>
          <w:rFonts w:cstheme="minorHAnsi"/>
          <w:color w:val="000000"/>
          <w:sz w:val="28"/>
          <w:szCs w:val="28"/>
        </w:rPr>
      </w:pPr>
      <w:r>
        <w:rPr>
          <w:rFonts w:cstheme="minorHAnsi"/>
          <w:color w:val="000000"/>
          <w:sz w:val="28"/>
          <w:szCs w:val="28"/>
        </w:rPr>
        <w:t>Assets added during the year</w:t>
      </w:r>
    </w:p>
    <w:p w14:paraId="5B076EA4" w14:textId="44EF1BCC"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Debit the asset by category</w:t>
      </w:r>
    </w:p>
    <w:p w14:paraId="45A782CD" w14:textId="240A38DA"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Credit Expenditures-Capital Outlay</w:t>
      </w:r>
    </w:p>
    <w:p w14:paraId="3733D192" w14:textId="5DE517F1" w:rsidR="003A2035" w:rsidRDefault="003A2035" w:rsidP="003A2035">
      <w:pPr>
        <w:pStyle w:val="ListParagraph"/>
        <w:numPr>
          <w:ilvl w:val="1"/>
          <w:numId w:val="1"/>
        </w:numPr>
        <w:rPr>
          <w:rFonts w:cstheme="minorHAnsi"/>
          <w:color w:val="000000"/>
          <w:sz w:val="28"/>
          <w:szCs w:val="28"/>
        </w:rPr>
      </w:pPr>
      <w:r>
        <w:rPr>
          <w:rFonts w:cstheme="minorHAnsi"/>
          <w:color w:val="000000"/>
          <w:sz w:val="28"/>
          <w:szCs w:val="28"/>
        </w:rPr>
        <w:t>Assets sold during the year</w:t>
      </w:r>
    </w:p>
    <w:p w14:paraId="38D4595C" w14:textId="3490051F"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Credit the asset sold</w:t>
      </w:r>
    </w:p>
    <w:p w14:paraId="14213967" w14:textId="500490F8"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 xml:space="preserve">Eliminate </w:t>
      </w:r>
      <w:r w:rsidR="00AC6138">
        <w:rPr>
          <w:rFonts w:cstheme="minorHAnsi"/>
          <w:color w:val="000000"/>
          <w:sz w:val="28"/>
          <w:szCs w:val="28"/>
        </w:rPr>
        <w:t xml:space="preserve">(credit) </w:t>
      </w:r>
      <w:r>
        <w:rPr>
          <w:rFonts w:cstheme="minorHAnsi"/>
          <w:color w:val="000000"/>
          <w:sz w:val="28"/>
          <w:szCs w:val="28"/>
        </w:rPr>
        <w:t>the proceeds from the sale</w:t>
      </w:r>
    </w:p>
    <w:p w14:paraId="6A2EADB5" w14:textId="437CFF16"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 xml:space="preserve">Record </w:t>
      </w:r>
      <w:r w:rsidR="00C713D8">
        <w:rPr>
          <w:rFonts w:cstheme="minorHAnsi"/>
          <w:color w:val="000000"/>
          <w:sz w:val="28"/>
          <w:szCs w:val="28"/>
        </w:rPr>
        <w:t>any</w:t>
      </w:r>
      <w:r>
        <w:rPr>
          <w:rFonts w:cstheme="minorHAnsi"/>
          <w:color w:val="000000"/>
          <w:sz w:val="28"/>
          <w:szCs w:val="28"/>
        </w:rPr>
        <w:t xml:space="preserve"> gain or loss</w:t>
      </w:r>
    </w:p>
    <w:p w14:paraId="2D52DA4A" w14:textId="723ECAE2" w:rsidR="00C713D8" w:rsidRDefault="00C713D8" w:rsidP="00C713D8">
      <w:pPr>
        <w:pStyle w:val="ListParagraph"/>
        <w:numPr>
          <w:ilvl w:val="1"/>
          <w:numId w:val="1"/>
        </w:numPr>
        <w:rPr>
          <w:rFonts w:cstheme="minorHAnsi"/>
          <w:color w:val="000000"/>
          <w:sz w:val="28"/>
          <w:szCs w:val="28"/>
        </w:rPr>
      </w:pPr>
      <w:r>
        <w:rPr>
          <w:rFonts w:cstheme="minorHAnsi"/>
          <w:color w:val="000000"/>
          <w:sz w:val="28"/>
          <w:szCs w:val="28"/>
        </w:rPr>
        <w:lastRenderedPageBreak/>
        <w:t>Record any depreciation</w:t>
      </w:r>
    </w:p>
    <w:p w14:paraId="41771526" w14:textId="5343D982" w:rsidR="00C713D8" w:rsidRPr="00C713D8" w:rsidRDefault="00C713D8" w:rsidP="00C713D8">
      <w:pPr>
        <w:pStyle w:val="ListParagraph"/>
        <w:numPr>
          <w:ilvl w:val="0"/>
          <w:numId w:val="1"/>
        </w:numPr>
        <w:rPr>
          <w:rFonts w:cstheme="minorHAnsi"/>
          <w:color w:val="000000"/>
          <w:sz w:val="28"/>
          <w:szCs w:val="28"/>
        </w:rPr>
      </w:pPr>
      <w:r w:rsidRPr="00C713D8">
        <w:rPr>
          <w:rFonts w:cstheme="minorHAnsi"/>
          <w:b/>
          <w:bCs/>
          <w:color w:val="000000"/>
          <w:sz w:val="28"/>
          <w:szCs w:val="28"/>
        </w:rPr>
        <w:t xml:space="preserve">Long-Term Liabilities </w:t>
      </w:r>
      <w:r>
        <w:rPr>
          <w:rFonts w:cstheme="minorHAnsi"/>
          <w:b/>
          <w:bCs/>
          <w:color w:val="000000"/>
          <w:sz w:val="28"/>
          <w:szCs w:val="28"/>
        </w:rPr>
        <w:t>–</w:t>
      </w:r>
      <w:r w:rsidRPr="00C713D8">
        <w:rPr>
          <w:rFonts w:cstheme="minorHAnsi"/>
          <w:b/>
          <w:bCs/>
          <w:color w:val="000000"/>
          <w:sz w:val="28"/>
          <w:szCs w:val="28"/>
        </w:rPr>
        <w:t xml:space="preserve"> Bonds</w:t>
      </w:r>
      <w:r>
        <w:rPr>
          <w:rFonts w:cstheme="minorHAnsi"/>
          <w:b/>
          <w:bCs/>
          <w:color w:val="000000"/>
          <w:sz w:val="28"/>
          <w:szCs w:val="28"/>
        </w:rPr>
        <w:t xml:space="preserve"> (usually)</w:t>
      </w:r>
    </w:p>
    <w:p w14:paraId="07E61117" w14:textId="4740B378" w:rsidR="003766CC" w:rsidRDefault="003766CC" w:rsidP="003766CC">
      <w:pPr>
        <w:pStyle w:val="ListParagraph"/>
        <w:numPr>
          <w:ilvl w:val="1"/>
          <w:numId w:val="1"/>
        </w:numPr>
        <w:rPr>
          <w:rFonts w:cstheme="minorHAnsi"/>
          <w:color w:val="000000"/>
          <w:sz w:val="28"/>
          <w:szCs w:val="28"/>
        </w:rPr>
      </w:pPr>
      <w:r>
        <w:rPr>
          <w:rFonts w:cstheme="minorHAnsi"/>
          <w:color w:val="000000"/>
          <w:sz w:val="28"/>
          <w:szCs w:val="28"/>
        </w:rPr>
        <w:t>Bonds in existence at the beginning of the year</w:t>
      </w:r>
      <w:r w:rsidR="00565279">
        <w:rPr>
          <w:rFonts w:cstheme="minorHAnsi"/>
          <w:color w:val="000000"/>
          <w:sz w:val="28"/>
          <w:szCs w:val="28"/>
        </w:rPr>
        <w:t xml:space="preserve"> related to the governmental funds</w:t>
      </w:r>
    </w:p>
    <w:p w14:paraId="5134B703" w14:textId="37B6188A" w:rsidR="003766CC" w:rsidRDefault="003766CC" w:rsidP="003766CC">
      <w:pPr>
        <w:pStyle w:val="ListParagraph"/>
        <w:numPr>
          <w:ilvl w:val="2"/>
          <w:numId w:val="1"/>
        </w:numPr>
        <w:rPr>
          <w:rFonts w:cstheme="minorHAnsi"/>
          <w:color w:val="000000"/>
          <w:sz w:val="28"/>
          <w:szCs w:val="28"/>
        </w:rPr>
      </w:pPr>
      <w:r>
        <w:rPr>
          <w:rFonts w:cstheme="minorHAnsi"/>
          <w:color w:val="000000"/>
          <w:sz w:val="28"/>
          <w:szCs w:val="28"/>
        </w:rPr>
        <w:t>Add bonds (credit) and premiums (credit) if any</w:t>
      </w:r>
    </w:p>
    <w:p w14:paraId="2DCF0905" w14:textId="756BBD76" w:rsidR="00565279" w:rsidRDefault="003766CC" w:rsidP="00565279">
      <w:pPr>
        <w:pStyle w:val="ListParagraph"/>
        <w:numPr>
          <w:ilvl w:val="2"/>
          <w:numId w:val="1"/>
        </w:numPr>
        <w:rPr>
          <w:rFonts w:cstheme="minorHAnsi"/>
          <w:color w:val="000000"/>
          <w:sz w:val="28"/>
          <w:szCs w:val="28"/>
        </w:rPr>
      </w:pPr>
      <w:r w:rsidRPr="003A2035">
        <w:rPr>
          <w:rFonts w:cstheme="minorHAnsi"/>
          <w:color w:val="000000"/>
          <w:sz w:val="28"/>
          <w:szCs w:val="28"/>
        </w:rPr>
        <w:t>Any difference would be recorded to net positio</w:t>
      </w:r>
      <w:r w:rsidR="00565279">
        <w:rPr>
          <w:rFonts w:cstheme="minorHAnsi"/>
          <w:color w:val="000000"/>
          <w:sz w:val="28"/>
          <w:szCs w:val="28"/>
        </w:rPr>
        <w:t>n</w:t>
      </w:r>
    </w:p>
    <w:p w14:paraId="41504E67" w14:textId="0B6FDA31" w:rsidR="00565279" w:rsidRDefault="00565279" w:rsidP="00565279">
      <w:pPr>
        <w:pStyle w:val="ListParagraph"/>
        <w:numPr>
          <w:ilvl w:val="1"/>
          <w:numId w:val="1"/>
        </w:numPr>
        <w:rPr>
          <w:rFonts w:cstheme="minorHAnsi"/>
          <w:color w:val="000000"/>
          <w:sz w:val="28"/>
          <w:szCs w:val="28"/>
        </w:rPr>
      </w:pPr>
      <w:r>
        <w:rPr>
          <w:rFonts w:cstheme="minorHAnsi"/>
          <w:color w:val="000000"/>
          <w:sz w:val="28"/>
          <w:szCs w:val="28"/>
        </w:rPr>
        <w:t>Bonds added during the year</w:t>
      </w:r>
    </w:p>
    <w:p w14:paraId="5D1251BB" w14:textId="747E1D30"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Credit bonds payable</w:t>
      </w:r>
    </w:p>
    <w:p w14:paraId="5208F915" w14:textId="713C3D16"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Debit other financing sources – proceeds of bond</w:t>
      </w:r>
    </w:p>
    <w:p w14:paraId="39FA1C4E" w14:textId="5CC18585" w:rsidR="005E5B9D" w:rsidRPr="005E5B9D" w:rsidRDefault="005E5B9D" w:rsidP="005E5B9D">
      <w:pPr>
        <w:pStyle w:val="ListParagraph"/>
        <w:numPr>
          <w:ilvl w:val="1"/>
          <w:numId w:val="1"/>
        </w:numPr>
        <w:rPr>
          <w:rFonts w:cstheme="minorHAnsi"/>
          <w:i/>
          <w:iCs/>
          <w:color w:val="000000"/>
          <w:sz w:val="28"/>
          <w:szCs w:val="28"/>
        </w:rPr>
      </w:pPr>
      <w:r w:rsidRPr="005E5B9D">
        <w:rPr>
          <w:rFonts w:cstheme="minorHAnsi"/>
          <w:i/>
          <w:iCs/>
          <w:color w:val="000000"/>
          <w:sz w:val="28"/>
          <w:szCs w:val="28"/>
        </w:rPr>
        <w:t>Any interest accrual added into the government-wide financial statements worksheet but recorded as an expenditure in the current year should be eliminated</w:t>
      </w:r>
    </w:p>
    <w:p w14:paraId="4B1CAE62" w14:textId="77777777" w:rsidR="005E5B9D" w:rsidRPr="005E5B9D" w:rsidRDefault="005E5B9D" w:rsidP="005E5B9D">
      <w:pPr>
        <w:pStyle w:val="ListParagraph"/>
        <w:numPr>
          <w:ilvl w:val="2"/>
          <w:numId w:val="1"/>
        </w:numPr>
        <w:rPr>
          <w:rFonts w:cstheme="minorHAnsi"/>
          <w:i/>
          <w:iCs/>
          <w:color w:val="000000"/>
          <w:sz w:val="28"/>
          <w:szCs w:val="28"/>
        </w:rPr>
      </w:pPr>
      <w:r w:rsidRPr="005E5B9D">
        <w:rPr>
          <w:rFonts w:cstheme="minorHAnsi"/>
          <w:i/>
          <w:iCs/>
          <w:color w:val="000000"/>
          <w:sz w:val="28"/>
          <w:szCs w:val="28"/>
        </w:rPr>
        <w:t>Debit net position</w:t>
      </w:r>
    </w:p>
    <w:p w14:paraId="265ABB79" w14:textId="77777777" w:rsidR="005E5B9D" w:rsidRPr="005E5B9D" w:rsidRDefault="005E5B9D" w:rsidP="005E5B9D">
      <w:pPr>
        <w:pStyle w:val="ListParagraph"/>
        <w:numPr>
          <w:ilvl w:val="2"/>
          <w:numId w:val="1"/>
        </w:numPr>
        <w:rPr>
          <w:rFonts w:cstheme="minorHAnsi"/>
          <w:i/>
          <w:iCs/>
          <w:color w:val="000000"/>
          <w:sz w:val="28"/>
          <w:szCs w:val="28"/>
        </w:rPr>
      </w:pPr>
      <w:r w:rsidRPr="005E5B9D">
        <w:rPr>
          <w:rFonts w:cstheme="minorHAnsi"/>
          <w:i/>
          <w:iCs/>
          <w:color w:val="000000"/>
          <w:sz w:val="28"/>
          <w:szCs w:val="28"/>
        </w:rPr>
        <w:t>Credit interest expense</w:t>
      </w:r>
    </w:p>
    <w:p w14:paraId="3BB75DB6" w14:textId="77777777" w:rsidR="005E5B9D" w:rsidRDefault="005E5B9D" w:rsidP="005E5B9D">
      <w:pPr>
        <w:pStyle w:val="ListParagraph"/>
        <w:numPr>
          <w:ilvl w:val="1"/>
          <w:numId w:val="1"/>
        </w:numPr>
        <w:rPr>
          <w:rFonts w:cstheme="minorHAnsi"/>
          <w:color w:val="000000"/>
          <w:sz w:val="28"/>
          <w:szCs w:val="28"/>
        </w:rPr>
      </w:pPr>
      <w:r>
        <w:rPr>
          <w:rFonts w:cstheme="minorHAnsi"/>
          <w:color w:val="000000"/>
          <w:sz w:val="28"/>
          <w:szCs w:val="28"/>
        </w:rPr>
        <w:t>Record any interest payable at the end of the current year under the accrual method</w:t>
      </w:r>
    </w:p>
    <w:p w14:paraId="0492F313" w14:textId="77777777" w:rsidR="005E5B9D" w:rsidRDefault="005E5B9D" w:rsidP="005E5B9D">
      <w:pPr>
        <w:pStyle w:val="ListParagraph"/>
        <w:numPr>
          <w:ilvl w:val="2"/>
          <w:numId w:val="1"/>
        </w:numPr>
        <w:rPr>
          <w:rFonts w:cstheme="minorHAnsi"/>
          <w:color w:val="000000"/>
          <w:sz w:val="28"/>
          <w:szCs w:val="28"/>
        </w:rPr>
      </w:pPr>
      <w:r>
        <w:rPr>
          <w:rFonts w:cstheme="minorHAnsi"/>
          <w:color w:val="000000"/>
          <w:sz w:val="28"/>
          <w:szCs w:val="28"/>
        </w:rPr>
        <w:t>Debit interest expense</w:t>
      </w:r>
    </w:p>
    <w:p w14:paraId="2F005B32" w14:textId="08538D59" w:rsidR="005E5B9D" w:rsidRPr="005E5B9D" w:rsidRDefault="005E5B9D" w:rsidP="005E5B9D">
      <w:pPr>
        <w:pStyle w:val="ListParagraph"/>
        <w:numPr>
          <w:ilvl w:val="2"/>
          <w:numId w:val="1"/>
        </w:numPr>
        <w:rPr>
          <w:rFonts w:cstheme="minorHAnsi"/>
          <w:color w:val="000000"/>
          <w:sz w:val="28"/>
          <w:szCs w:val="28"/>
        </w:rPr>
      </w:pPr>
      <w:r>
        <w:rPr>
          <w:rFonts w:cstheme="minorHAnsi"/>
          <w:color w:val="000000"/>
          <w:sz w:val="28"/>
          <w:szCs w:val="28"/>
        </w:rPr>
        <w:t>Credit interest payable</w:t>
      </w:r>
    </w:p>
    <w:p w14:paraId="7061EC9D" w14:textId="5604D625" w:rsidR="00565279" w:rsidRDefault="00565279" w:rsidP="00565279">
      <w:pPr>
        <w:pStyle w:val="ListParagraph"/>
        <w:numPr>
          <w:ilvl w:val="1"/>
          <w:numId w:val="1"/>
        </w:numPr>
        <w:rPr>
          <w:rFonts w:cstheme="minorHAnsi"/>
          <w:color w:val="000000"/>
          <w:sz w:val="28"/>
          <w:szCs w:val="28"/>
        </w:rPr>
      </w:pPr>
      <w:r>
        <w:rPr>
          <w:rFonts w:cstheme="minorHAnsi"/>
          <w:color w:val="000000"/>
          <w:sz w:val="28"/>
          <w:szCs w:val="28"/>
        </w:rPr>
        <w:t>Bond principal paid during the year</w:t>
      </w:r>
    </w:p>
    <w:p w14:paraId="129835DE" w14:textId="64AC3873"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Credit/eliminate the expenditure</w:t>
      </w:r>
      <w:r w:rsidR="005E5B9D">
        <w:rPr>
          <w:rFonts w:cstheme="minorHAnsi"/>
          <w:color w:val="000000"/>
          <w:sz w:val="28"/>
          <w:szCs w:val="28"/>
        </w:rPr>
        <w:t xml:space="preserve"> for principal</w:t>
      </w:r>
      <w:r>
        <w:rPr>
          <w:rFonts w:cstheme="minorHAnsi"/>
          <w:color w:val="000000"/>
          <w:sz w:val="28"/>
          <w:szCs w:val="28"/>
        </w:rPr>
        <w:t xml:space="preserve"> </w:t>
      </w:r>
    </w:p>
    <w:p w14:paraId="41DAB92D" w14:textId="259FE10E"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Debit/reduce bonds payable</w:t>
      </w:r>
    </w:p>
    <w:p w14:paraId="6E89D583" w14:textId="250BA67A" w:rsidR="001A16C6" w:rsidRDefault="001A16C6" w:rsidP="001A16C6">
      <w:pPr>
        <w:pStyle w:val="ListParagraph"/>
        <w:numPr>
          <w:ilvl w:val="1"/>
          <w:numId w:val="1"/>
        </w:numPr>
        <w:rPr>
          <w:rFonts w:cstheme="minorHAnsi"/>
          <w:color w:val="000000"/>
          <w:sz w:val="28"/>
          <w:szCs w:val="28"/>
        </w:rPr>
      </w:pPr>
      <w:r>
        <w:rPr>
          <w:rFonts w:cstheme="minorHAnsi"/>
          <w:color w:val="000000"/>
          <w:sz w:val="28"/>
          <w:szCs w:val="28"/>
        </w:rPr>
        <w:t>Bond principal amortization not previously recorded during the year</w:t>
      </w:r>
    </w:p>
    <w:p w14:paraId="750ADFE0" w14:textId="23260AAC" w:rsidR="001A16C6" w:rsidRDefault="001A16C6" w:rsidP="001A16C6">
      <w:pPr>
        <w:pStyle w:val="ListParagraph"/>
        <w:numPr>
          <w:ilvl w:val="2"/>
          <w:numId w:val="1"/>
        </w:numPr>
        <w:rPr>
          <w:rFonts w:cstheme="minorHAnsi"/>
          <w:color w:val="000000"/>
          <w:sz w:val="28"/>
          <w:szCs w:val="28"/>
        </w:rPr>
      </w:pPr>
      <w:r>
        <w:rPr>
          <w:rFonts w:cstheme="minorHAnsi"/>
          <w:color w:val="000000"/>
          <w:sz w:val="28"/>
          <w:szCs w:val="28"/>
        </w:rPr>
        <w:t>Debit the premium to record the amortization</w:t>
      </w:r>
    </w:p>
    <w:p w14:paraId="05743AD6" w14:textId="7C3CB1F8" w:rsidR="001A16C6" w:rsidRDefault="001A16C6" w:rsidP="001A16C6">
      <w:pPr>
        <w:pStyle w:val="ListParagraph"/>
        <w:numPr>
          <w:ilvl w:val="2"/>
          <w:numId w:val="1"/>
        </w:numPr>
        <w:rPr>
          <w:rFonts w:cstheme="minorHAnsi"/>
          <w:color w:val="000000"/>
          <w:sz w:val="28"/>
          <w:szCs w:val="28"/>
        </w:rPr>
      </w:pPr>
      <w:r>
        <w:rPr>
          <w:rFonts w:cstheme="minorHAnsi"/>
          <w:color w:val="000000"/>
          <w:sz w:val="28"/>
          <w:szCs w:val="28"/>
        </w:rPr>
        <w:t xml:space="preserve">Credit bond interest expense previously recorded (reduces a portion of interest expense recorded which did not consider bond amortization). </w:t>
      </w:r>
    </w:p>
    <w:p w14:paraId="3F8470A1" w14:textId="6055DF65" w:rsidR="005E5B9D" w:rsidRDefault="005E5B9D" w:rsidP="005E5B9D">
      <w:pPr>
        <w:pStyle w:val="ListParagraph"/>
        <w:numPr>
          <w:ilvl w:val="1"/>
          <w:numId w:val="1"/>
        </w:numPr>
        <w:rPr>
          <w:rFonts w:cstheme="minorHAnsi"/>
          <w:color w:val="000000"/>
          <w:sz w:val="28"/>
          <w:szCs w:val="28"/>
        </w:rPr>
      </w:pPr>
      <w:r>
        <w:rPr>
          <w:rFonts w:cstheme="minorHAnsi"/>
          <w:color w:val="000000"/>
          <w:sz w:val="28"/>
          <w:szCs w:val="28"/>
        </w:rPr>
        <w:t xml:space="preserve">Interest expense in the current year related to the current year would not require adjustment. </w:t>
      </w:r>
    </w:p>
    <w:p w14:paraId="2E5EE75D" w14:textId="77777777" w:rsidR="001A16C6" w:rsidRDefault="001A16C6">
      <w:pPr>
        <w:rPr>
          <w:rFonts w:cstheme="minorHAnsi"/>
          <w:color w:val="000000"/>
          <w:sz w:val="28"/>
          <w:szCs w:val="28"/>
        </w:rPr>
      </w:pPr>
      <w:r>
        <w:rPr>
          <w:rFonts w:cstheme="minorHAnsi"/>
          <w:color w:val="000000"/>
          <w:sz w:val="28"/>
          <w:szCs w:val="28"/>
        </w:rPr>
        <w:br w:type="page"/>
      </w:r>
    </w:p>
    <w:p w14:paraId="6B3C1FA1" w14:textId="77777777" w:rsidR="001A16C6" w:rsidRPr="00565279" w:rsidRDefault="001A16C6" w:rsidP="001A16C6">
      <w:pPr>
        <w:pStyle w:val="ListParagraph"/>
        <w:ind w:left="2160"/>
        <w:rPr>
          <w:rFonts w:cstheme="minorHAnsi"/>
          <w:color w:val="000000"/>
          <w:sz w:val="28"/>
          <w:szCs w:val="28"/>
        </w:rPr>
      </w:pPr>
    </w:p>
    <w:p w14:paraId="73851082" w14:textId="2A1DF974" w:rsidR="003A6D12" w:rsidRPr="001A16C6" w:rsidRDefault="003A6D12" w:rsidP="001A16C6">
      <w:pPr>
        <w:pStyle w:val="ListParagraph"/>
        <w:numPr>
          <w:ilvl w:val="0"/>
          <w:numId w:val="1"/>
        </w:numPr>
        <w:rPr>
          <w:rFonts w:cstheme="minorHAnsi"/>
          <w:color w:val="000000"/>
          <w:sz w:val="28"/>
          <w:szCs w:val="28"/>
        </w:rPr>
      </w:pPr>
      <w:r w:rsidRPr="00912775">
        <w:rPr>
          <w:rFonts w:cstheme="minorHAnsi"/>
          <w:b/>
          <w:bCs/>
          <w:color w:val="000000"/>
          <w:sz w:val="28"/>
          <w:szCs w:val="28"/>
        </w:rPr>
        <w:t xml:space="preserve">Revenue recognition under modified accrual accounting. </w:t>
      </w:r>
    </w:p>
    <w:p w14:paraId="57AF7E9B" w14:textId="51F3DB4A" w:rsidR="003549E3" w:rsidRDefault="003A6D12" w:rsidP="00531B3F">
      <w:pPr>
        <w:spacing w:after="100" w:afterAutospacing="1"/>
        <w:ind w:left="720"/>
        <w:jc w:val="both"/>
        <w:rPr>
          <w:rFonts w:cstheme="minorHAnsi"/>
          <w:color w:val="000000"/>
          <w:sz w:val="28"/>
          <w:szCs w:val="28"/>
        </w:rPr>
      </w:pPr>
      <w:r w:rsidRPr="00912775">
        <w:rPr>
          <w:rFonts w:cstheme="minorHAnsi"/>
          <w:color w:val="000000"/>
          <w:sz w:val="28"/>
          <w:szCs w:val="28"/>
        </w:rPr>
        <w:t>Revenues are recognized when available and measurable. Revenues are deemed to be </w:t>
      </w:r>
      <w:r w:rsidRPr="00912775">
        <w:rPr>
          <w:rFonts w:cstheme="minorHAnsi"/>
          <w:i/>
          <w:iCs/>
          <w:color w:val="000000"/>
          <w:sz w:val="28"/>
          <w:szCs w:val="28"/>
        </w:rPr>
        <w:t>available</w:t>
      </w:r>
      <w:r w:rsidRPr="00912775">
        <w:rPr>
          <w:rFonts w:cstheme="minorHAnsi"/>
          <w:color w:val="000000"/>
          <w:sz w:val="28"/>
          <w:szCs w:val="28"/>
        </w:rPr>
        <w:t> if they are collectible within the current fiscal year or soon enough after the year-end that they could be used to settle current period liabilities. A special rule applied to property taxes—the 60-day rule. Under modified accrual, property taxes, sales taxes, and income taxes expected to be collected more than 60 days following year-end are deferred and recognized as revenue in the following year.</w:t>
      </w:r>
    </w:p>
    <w:p w14:paraId="457C0C08" w14:textId="3CB931F7" w:rsidR="003549E3" w:rsidRDefault="003549E3" w:rsidP="003549E3">
      <w:pPr>
        <w:pStyle w:val="indent"/>
        <w:numPr>
          <w:ilvl w:val="0"/>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Revenue recognition </w:t>
      </w:r>
    </w:p>
    <w:p w14:paraId="5A85A7DB" w14:textId="32769D0C" w:rsidR="003549E3" w:rsidRDefault="003549E3" w:rsidP="003549E3">
      <w:pPr>
        <w:pStyle w:val="indent"/>
        <w:numPr>
          <w:ilvl w:val="1"/>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Accrual - The entire amount of the property tax levied would be recognized </w:t>
      </w:r>
      <w:r w:rsidR="007227A6">
        <w:rPr>
          <w:rFonts w:asciiTheme="minorHAnsi" w:hAnsiTheme="minorHAnsi" w:cstheme="minorHAnsi"/>
          <w:color w:val="000000"/>
          <w:sz w:val="28"/>
          <w:szCs w:val="28"/>
        </w:rPr>
        <w:t>minus any uncollectible amounts</w:t>
      </w:r>
    </w:p>
    <w:p w14:paraId="03DB4EC1" w14:textId="6953D9D9" w:rsidR="007227A6" w:rsidRDefault="003549E3" w:rsidP="007227A6">
      <w:pPr>
        <w:pStyle w:val="indent"/>
        <w:numPr>
          <w:ilvl w:val="1"/>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Modified accrual </w:t>
      </w:r>
      <w:r w:rsidR="007227A6">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7227A6">
        <w:rPr>
          <w:rFonts w:asciiTheme="minorHAnsi" w:hAnsiTheme="minorHAnsi" w:cstheme="minorHAnsi"/>
          <w:color w:val="000000"/>
          <w:sz w:val="28"/>
          <w:szCs w:val="28"/>
        </w:rPr>
        <w:t>The amount levied recognized minus the amount deferred and any uncollectible amounts</w:t>
      </w:r>
    </w:p>
    <w:p w14:paraId="6BD221DA" w14:textId="0B7D4A63" w:rsidR="003549E3" w:rsidRPr="003549E3" w:rsidRDefault="007227A6" w:rsidP="000B6F16">
      <w:pPr>
        <w:pStyle w:val="indent"/>
        <w:numPr>
          <w:ilvl w:val="1"/>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Any amount previously deferred would </w:t>
      </w:r>
      <w:r w:rsidR="000B6F16">
        <w:rPr>
          <w:rFonts w:asciiTheme="minorHAnsi" w:hAnsiTheme="minorHAnsi" w:cstheme="minorHAnsi"/>
          <w:color w:val="000000"/>
          <w:sz w:val="28"/>
          <w:szCs w:val="28"/>
        </w:rPr>
        <w:t>require adjustment as follows</w:t>
      </w:r>
    </w:p>
    <w:p w14:paraId="20F1F3EC" w14:textId="77777777" w:rsidR="001A16C6" w:rsidRPr="00531B3F" w:rsidRDefault="001A16C6" w:rsidP="000B6F16">
      <w:pPr>
        <w:ind w:left="1440"/>
        <w:rPr>
          <w:rFonts w:cstheme="minorHAnsi"/>
          <w:b/>
          <w:bCs/>
          <w:color w:val="000000"/>
          <w:sz w:val="22"/>
          <w:szCs w:val="22"/>
        </w:rPr>
      </w:pPr>
      <w:r w:rsidRPr="00531B3F">
        <w:rPr>
          <w:rFonts w:cstheme="minorHAnsi"/>
          <w:b/>
          <w:bCs/>
          <w:color w:val="000000"/>
          <w:sz w:val="22"/>
          <w:szCs w:val="22"/>
        </w:rPr>
        <w:t>Explanation:</w:t>
      </w:r>
    </w:p>
    <w:p w14:paraId="7D275A61" w14:textId="609B7BD9" w:rsidR="001A16C6" w:rsidRPr="00531B3F" w:rsidRDefault="001A16C6" w:rsidP="000B6F16">
      <w:pPr>
        <w:ind w:left="1440"/>
        <w:jc w:val="both"/>
        <w:rPr>
          <w:rFonts w:cstheme="minorHAnsi"/>
          <w:color w:val="000000"/>
          <w:sz w:val="22"/>
          <w:szCs w:val="22"/>
        </w:rPr>
      </w:pPr>
      <w:r w:rsidRPr="00531B3F">
        <w:rPr>
          <w:rFonts w:cstheme="minorHAnsi"/>
          <w:b/>
          <w:bCs/>
          <w:color w:val="000000"/>
          <w:sz w:val="22"/>
          <w:szCs w:val="22"/>
        </w:rPr>
        <w:t>In 2019,</w:t>
      </w:r>
      <w:r w:rsidRPr="00531B3F">
        <w:rPr>
          <w:rFonts w:cstheme="minorHAnsi"/>
          <w:color w:val="000000"/>
          <w:sz w:val="22"/>
          <w:szCs w:val="22"/>
        </w:rPr>
        <w:t xml:space="preserve"> the general fund deferred inflows of property taxes in the amount of $51,200 because this amount will not be paid for 60 days after year end.  </w:t>
      </w:r>
    </w:p>
    <w:p w14:paraId="69C33D89" w14:textId="77777777" w:rsidR="001A16C6" w:rsidRPr="00531B3F" w:rsidRDefault="001A16C6" w:rsidP="000B6F16">
      <w:pPr>
        <w:ind w:left="1440"/>
        <w:jc w:val="both"/>
        <w:rPr>
          <w:rFonts w:cstheme="minorHAnsi"/>
          <w:color w:val="000000"/>
          <w:sz w:val="22"/>
          <w:szCs w:val="22"/>
        </w:rPr>
      </w:pPr>
      <w:r w:rsidRPr="00531B3F">
        <w:rPr>
          <w:rFonts w:cstheme="minorHAnsi"/>
          <w:color w:val="000000"/>
          <w:sz w:val="22"/>
          <w:szCs w:val="22"/>
        </w:rPr>
        <w:t xml:space="preserve">That 2019 journal entry would have been </w:t>
      </w:r>
    </w:p>
    <w:p w14:paraId="021CAC2E"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12/31/19</w:t>
      </w:r>
      <w:r w:rsidRPr="00531B3F">
        <w:rPr>
          <w:rFonts w:cstheme="minorHAnsi"/>
          <w:color w:val="000000"/>
          <w:sz w:val="22"/>
          <w:szCs w:val="22"/>
        </w:rPr>
        <w:tab/>
        <w:t>Revenue</w:t>
      </w:r>
      <w:r w:rsidRPr="00531B3F">
        <w:rPr>
          <w:rFonts w:cstheme="minorHAnsi"/>
          <w:color w:val="000000"/>
          <w:sz w:val="22"/>
          <w:szCs w:val="22"/>
        </w:rPr>
        <w:tab/>
      </w:r>
      <w:r w:rsidRPr="00531B3F">
        <w:rPr>
          <w:rFonts w:cstheme="minorHAnsi"/>
          <w:color w:val="000000"/>
          <w:sz w:val="22"/>
          <w:szCs w:val="22"/>
        </w:rPr>
        <w:tab/>
        <w:t>51,200 (temporary account)</w:t>
      </w:r>
    </w:p>
    <w:p w14:paraId="21061A68"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Deferred Inflow</w:t>
      </w:r>
      <w:r w:rsidRPr="00531B3F">
        <w:rPr>
          <w:rFonts w:cstheme="minorHAnsi"/>
          <w:color w:val="000000"/>
          <w:sz w:val="22"/>
          <w:szCs w:val="22"/>
        </w:rPr>
        <w:tab/>
      </w:r>
      <w:r w:rsidRPr="00531B3F">
        <w:rPr>
          <w:rFonts w:cstheme="minorHAnsi"/>
          <w:color w:val="000000"/>
          <w:sz w:val="22"/>
          <w:szCs w:val="22"/>
        </w:rPr>
        <w:tab/>
        <w:t>51,200 (permanent account)</w:t>
      </w:r>
    </w:p>
    <w:p w14:paraId="022FDC62" w14:textId="77777777" w:rsidR="001A16C6" w:rsidRPr="00531B3F" w:rsidRDefault="001A16C6" w:rsidP="000B6F16">
      <w:pPr>
        <w:spacing w:after="0"/>
        <w:ind w:left="1440"/>
        <w:jc w:val="both"/>
        <w:rPr>
          <w:rFonts w:cstheme="minorHAnsi"/>
          <w:color w:val="000000"/>
          <w:sz w:val="22"/>
          <w:szCs w:val="22"/>
        </w:rPr>
      </w:pPr>
    </w:p>
    <w:p w14:paraId="0126427E" w14:textId="77777777" w:rsidR="001A16C6" w:rsidRPr="00531B3F" w:rsidRDefault="001A16C6" w:rsidP="000B6F16">
      <w:pPr>
        <w:spacing w:after="0"/>
        <w:ind w:left="1440"/>
        <w:jc w:val="both"/>
        <w:rPr>
          <w:rFonts w:cstheme="minorHAnsi"/>
          <w:color w:val="000000"/>
          <w:sz w:val="22"/>
          <w:szCs w:val="22"/>
        </w:rPr>
      </w:pPr>
      <w:r w:rsidRPr="00531B3F">
        <w:rPr>
          <w:noProof/>
          <w:sz w:val="22"/>
          <w:szCs w:val="22"/>
        </w:rPr>
        <w:drawing>
          <wp:inline distT="0" distB="0" distL="0" distR="0" wp14:anchorId="5A80C305" wp14:editId="18C67A2D">
            <wp:extent cx="2989580" cy="334010"/>
            <wp:effectExtent l="0" t="0" r="1270" b="8890"/>
            <wp:docPr id="43008" name="Picture 4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580" cy="334010"/>
                    </a:xfrm>
                    <a:prstGeom prst="rect">
                      <a:avLst/>
                    </a:prstGeom>
                    <a:noFill/>
                    <a:ln>
                      <a:noFill/>
                    </a:ln>
                  </pic:spPr>
                </pic:pic>
              </a:graphicData>
            </a:graphic>
          </wp:inline>
        </w:drawing>
      </w:r>
    </w:p>
    <w:p w14:paraId="33D199AB" w14:textId="77777777" w:rsidR="001A16C6" w:rsidRPr="00531B3F" w:rsidRDefault="001A16C6" w:rsidP="000B6F16">
      <w:pPr>
        <w:spacing w:after="0"/>
        <w:ind w:left="1440"/>
        <w:jc w:val="both"/>
        <w:rPr>
          <w:rFonts w:cstheme="minorHAnsi"/>
          <w:color w:val="000000"/>
          <w:sz w:val="22"/>
          <w:szCs w:val="22"/>
        </w:rPr>
      </w:pPr>
    </w:p>
    <w:p w14:paraId="0B0100F2" w14:textId="77777777" w:rsidR="001A16C6" w:rsidRPr="00531B3F" w:rsidRDefault="001A16C6" w:rsidP="000B6F16">
      <w:pPr>
        <w:spacing w:after="0"/>
        <w:ind w:left="1440"/>
        <w:jc w:val="both"/>
        <w:rPr>
          <w:rFonts w:cstheme="minorHAnsi"/>
          <w:color w:val="000000"/>
          <w:sz w:val="22"/>
          <w:szCs w:val="22"/>
        </w:rPr>
      </w:pPr>
      <w:r w:rsidRPr="00531B3F">
        <w:rPr>
          <w:rFonts w:cstheme="minorHAnsi"/>
          <w:b/>
          <w:bCs/>
          <w:color w:val="000000"/>
          <w:sz w:val="22"/>
          <w:szCs w:val="22"/>
        </w:rPr>
        <w:t>In 2020,</w:t>
      </w:r>
      <w:r w:rsidRPr="00531B3F">
        <w:rPr>
          <w:rFonts w:cstheme="minorHAnsi"/>
          <w:color w:val="000000"/>
          <w:sz w:val="22"/>
          <w:szCs w:val="22"/>
        </w:rPr>
        <w:t xml:space="preserve"> the general fund will reverse this entry to recognize the revenue since it is now “available” in 2020.  Additionally, the general fund will zero out the deferred inflow since it is no longer deferred. </w:t>
      </w:r>
    </w:p>
    <w:p w14:paraId="408E03B7" w14:textId="77777777" w:rsidR="001A16C6" w:rsidRPr="00531B3F" w:rsidRDefault="001A16C6" w:rsidP="000B6F16">
      <w:pPr>
        <w:spacing w:after="0"/>
        <w:ind w:left="1440"/>
        <w:jc w:val="both"/>
        <w:rPr>
          <w:rFonts w:cstheme="minorHAnsi"/>
          <w:color w:val="000000"/>
          <w:sz w:val="22"/>
          <w:szCs w:val="22"/>
        </w:rPr>
      </w:pPr>
    </w:p>
    <w:p w14:paraId="233163BA"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 xml:space="preserve">1/1/2020 </w:t>
      </w:r>
      <w:r w:rsidRPr="00531B3F">
        <w:rPr>
          <w:rFonts w:cstheme="minorHAnsi"/>
          <w:color w:val="000000"/>
          <w:sz w:val="22"/>
          <w:szCs w:val="22"/>
        </w:rPr>
        <w:tab/>
        <w:t>Deferred Inflow</w:t>
      </w:r>
      <w:r w:rsidRPr="00531B3F">
        <w:rPr>
          <w:rFonts w:cstheme="minorHAnsi"/>
          <w:color w:val="000000"/>
          <w:sz w:val="22"/>
          <w:szCs w:val="22"/>
        </w:rPr>
        <w:tab/>
        <w:t>51,200 (permanent account)</w:t>
      </w:r>
    </w:p>
    <w:p w14:paraId="38CBA971"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Revenue</w:t>
      </w: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51,200 (temporary account)</w:t>
      </w:r>
    </w:p>
    <w:p w14:paraId="783029D7" w14:textId="77777777" w:rsidR="001A16C6" w:rsidRPr="00531B3F" w:rsidRDefault="001A16C6" w:rsidP="000B6F16">
      <w:pPr>
        <w:spacing w:after="0"/>
        <w:ind w:left="1440"/>
        <w:jc w:val="both"/>
        <w:rPr>
          <w:rFonts w:cstheme="minorHAnsi"/>
          <w:color w:val="000000"/>
          <w:sz w:val="22"/>
          <w:szCs w:val="22"/>
        </w:rPr>
      </w:pPr>
    </w:p>
    <w:p w14:paraId="6AC21C7B" w14:textId="77777777" w:rsidR="001A16C6" w:rsidRPr="00531B3F" w:rsidRDefault="001A16C6" w:rsidP="000B6F16">
      <w:pPr>
        <w:spacing w:after="0"/>
        <w:ind w:left="1440"/>
        <w:jc w:val="both"/>
        <w:rPr>
          <w:rFonts w:cstheme="minorHAnsi"/>
          <w:color w:val="000000"/>
          <w:sz w:val="22"/>
          <w:szCs w:val="22"/>
        </w:rPr>
      </w:pPr>
      <w:r w:rsidRPr="00531B3F">
        <w:rPr>
          <w:noProof/>
          <w:sz w:val="22"/>
          <w:szCs w:val="22"/>
        </w:rPr>
        <w:drawing>
          <wp:inline distT="0" distB="0" distL="0" distR="0" wp14:anchorId="1149BE48" wp14:editId="551590E5">
            <wp:extent cx="2989580" cy="659765"/>
            <wp:effectExtent l="0" t="0" r="1270" b="6985"/>
            <wp:docPr id="43009" name="Picture 4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659765"/>
                    </a:xfrm>
                    <a:prstGeom prst="rect">
                      <a:avLst/>
                    </a:prstGeom>
                    <a:noFill/>
                    <a:ln>
                      <a:noFill/>
                    </a:ln>
                  </pic:spPr>
                </pic:pic>
              </a:graphicData>
            </a:graphic>
          </wp:inline>
        </w:drawing>
      </w:r>
    </w:p>
    <w:p w14:paraId="33CB92CB" w14:textId="77777777" w:rsidR="001A16C6" w:rsidRPr="00531B3F" w:rsidRDefault="001A16C6" w:rsidP="000B6F16">
      <w:pPr>
        <w:spacing w:after="0"/>
        <w:ind w:left="1440"/>
        <w:jc w:val="both"/>
        <w:rPr>
          <w:rFonts w:cstheme="minorHAnsi"/>
          <w:b/>
          <w:bCs/>
          <w:color w:val="000000"/>
          <w:sz w:val="22"/>
          <w:szCs w:val="22"/>
        </w:rPr>
      </w:pPr>
    </w:p>
    <w:p w14:paraId="23CB561B" w14:textId="77777777" w:rsidR="001A16C6" w:rsidRPr="00531B3F" w:rsidRDefault="001A16C6" w:rsidP="000B6F16">
      <w:pPr>
        <w:spacing w:after="0"/>
        <w:ind w:left="1440"/>
        <w:jc w:val="both"/>
        <w:rPr>
          <w:rFonts w:cstheme="minorHAnsi"/>
          <w:color w:val="000000"/>
          <w:sz w:val="22"/>
          <w:szCs w:val="22"/>
        </w:rPr>
      </w:pPr>
      <w:r w:rsidRPr="00531B3F">
        <w:rPr>
          <w:rFonts w:cstheme="minorHAnsi"/>
          <w:b/>
          <w:bCs/>
          <w:color w:val="000000"/>
          <w:sz w:val="22"/>
          <w:szCs w:val="22"/>
        </w:rPr>
        <w:t>Worksheet entry</w:t>
      </w:r>
      <w:r w:rsidRPr="00531B3F">
        <w:rPr>
          <w:rFonts w:cstheme="minorHAnsi"/>
          <w:color w:val="000000"/>
          <w:sz w:val="22"/>
          <w:szCs w:val="22"/>
        </w:rPr>
        <w:t xml:space="preserve"> to convert general fund accounting from modified accrual basis to accrual basis:</w:t>
      </w:r>
    </w:p>
    <w:p w14:paraId="4AB313EA" w14:textId="77777777" w:rsidR="001A16C6" w:rsidRPr="00531B3F" w:rsidRDefault="001A16C6" w:rsidP="000B6F16">
      <w:pPr>
        <w:spacing w:after="0"/>
        <w:ind w:left="1440"/>
        <w:jc w:val="both"/>
        <w:rPr>
          <w:rFonts w:cstheme="minorHAnsi"/>
          <w:color w:val="000000"/>
          <w:sz w:val="22"/>
          <w:szCs w:val="22"/>
        </w:rPr>
      </w:pPr>
    </w:p>
    <w:p w14:paraId="530FC422"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12/31/20</w:t>
      </w:r>
      <w:r w:rsidRPr="00531B3F">
        <w:rPr>
          <w:rFonts w:cstheme="minorHAnsi"/>
          <w:color w:val="000000"/>
          <w:sz w:val="22"/>
          <w:szCs w:val="22"/>
        </w:rPr>
        <w:tab/>
        <w:t>Revenue</w:t>
      </w:r>
      <w:r w:rsidRPr="00531B3F">
        <w:rPr>
          <w:rFonts w:cstheme="minorHAnsi"/>
          <w:color w:val="000000"/>
          <w:sz w:val="22"/>
          <w:szCs w:val="22"/>
        </w:rPr>
        <w:tab/>
      </w:r>
      <w:r w:rsidRPr="00531B3F">
        <w:rPr>
          <w:rFonts w:cstheme="minorHAnsi"/>
          <w:color w:val="000000"/>
          <w:sz w:val="22"/>
          <w:szCs w:val="22"/>
        </w:rPr>
        <w:tab/>
        <w:t xml:space="preserve">51,200 (temporary account) </w:t>
      </w:r>
    </w:p>
    <w:p w14:paraId="1EE43B2C"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 xml:space="preserve">Net Position </w:t>
      </w:r>
      <w:r w:rsidRPr="00531B3F">
        <w:rPr>
          <w:rFonts w:cstheme="minorHAnsi"/>
          <w:color w:val="000000"/>
          <w:sz w:val="22"/>
          <w:szCs w:val="22"/>
        </w:rPr>
        <w:tab/>
      </w:r>
      <w:r w:rsidRPr="00531B3F">
        <w:rPr>
          <w:rFonts w:cstheme="minorHAnsi"/>
          <w:color w:val="000000"/>
          <w:sz w:val="22"/>
          <w:szCs w:val="22"/>
        </w:rPr>
        <w:tab/>
        <w:t>51,200 (permanent account)</w:t>
      </w:r>
    </w:p>
    <w:p w14:paraId="34BED343" w14:textId="77777777" w:rsidR="001A16C6" w:rsidRPr="00531B3F" w:rsidRDefault="001A16C6" w:rsidP="000B6F16">
      <w:pPr>
        <w:spacing w:after="0"/>
        <w:ind w:left="1440"/>
        <w:jc w:val="both"/>
        <w:rPr>
          <w:rFonts w:cstheme="minorHAnsi"/>
          <w:color w:val="000000"/>
          <w:sz w:val="22"/>
          <w:szCs w:val="22"/>
        </w:rPr>
      </w:pPr>
    </w:p>
    <w:p w14:paraId="17BB87BC" w14:textId="73C62777" w:rsidR="000D380B" w:rsidRDefault="001A16C6" w:rsidP="000B6F16">
      <w:pPr>
        <w:spacing w:after="0"/>
        <w:ind w:left="1440"/>
        <w:jc w:val="both"/>
        <w:rPr>
          <w:rFonts w:cstheme="minorHAnsi"/>
          <w:color w:val="000000"/>
          <w:sz w:val="22"/>
          <w:szCs w:val="22"/>
        </w:rPr>
      </w:pPr>
      <w:r w:rsidRPr="00531B3F">
        <w:rPr>
          <w:rFonts w:cstheme="minorHAnsi"/>
          <w:color w:val="000000"/>
          <w:sz w:val="22"/>
          <w:szCs w:val="22"/>
        </w:rPr>
        <w:t xml:space="preserve">This negates the revenue recognized in 2020 related to 2019.  Net position is affected since the amounts were closed out to net position when closing revenue accounts for 2019. </w:t>
      </w:r>
    </w:p>
    <w:p w14:paraId="13E4EA42" w14:textId="77777777" w:rsidR="000D380B" w:rsidRDefault="000D380B">
      <w:pPr>
        <w:rPr>
          <w:rFonts w:cstheme="minorHAnsi"/>
          <w:color w:val="000000"/>
          <w:sz w:val="22"/>
          <w:szCs w:val="22"/>
        </w:rPr>
      </w:pPr>
      <w:r>
        <w:rPr>
          <w:rFonts w:cstheme="minorHAnsi"/>
          <w:color w:val="000000"/>
          <w:sz w:val="22"/>
          <w:szCs w:val="22"/>
        </w:rPr>
        <w:br w:type="page"/>
      </w:r>
    </w:p>
    <w:p w14:paraId="1F394985" w14:textId="77777777" w:rsidR="001A16C6" w:rsidRPr="00531B3F" w:rsidRDefault="001A16C6" w:rsidP="000B6F16">
      <w:pPr>
        <w:spacing w:after="0"/>
        <w:ind w:left="1440"/>
        <w:jc w:val="both"/>
        <w:rPr>
          <w:rFonts w:cstheme="minorHAnsi"/>
          <w:color w:val="000000"/>
          <w:sz w:val="22"/>
          <w:szCs w:val="22"/>
        </w:rPr>
      </w:pPr>
    </w:p>
    <w:p w14:paraId="1052FB56" w14:textId="6D315318" w:rsidR="001A16C6" w:rsidRDefault="000D380B" w:rsidP="000D380B">
      <w:pPr>
        <w:pStyle w:val="ListParagraph"/>
        <w:numPr>
          <w:ilvl w:val="0"/>
          <w:numId w:val="3"/>
        </w:numPr>
        <w:rPr>
          <w:sz w:val="28"/>
          <w:szCs w:val="28"/>
        </w:rPr>
      </w:pPr>
      <w:r>
        <w:rPr>
          <w:sz w:val="28"/>
          <w:szCs w:val="28"/>
        </w:rPr>
        <w:t>To convert to accrual basis, any amount deferred during the current year, would be added back as revenue</w:t>
      </w:r>
    </w:p>
    <w:p w14:paraId="38EEB173" w14:textId="30B6DF77" w:rsidR="000D380B" w:rsidRDefault="000D380B" w:rsidP="000D380B">
      <w:pPr>
        <w:pStyle w:val="ListParagraph"/>
        <w:numPr>
          <w:ilvl w:val="1"/>
          <w:numId w:val="3"/>
        </w:numPr>
        <w:rPr>
          <w:sz w:val="28"/>
          <w:szCs w:val="28"/>
        </w:rPr>
      </w:pPr>
      <w:r>
        <w:rPr>
          <w:sz w:val="28"/>
          <w:szCs w:val="28"/>
        </w:rPr>
        <w:t>Debit deferred inflows</w:t>
      </w:r>
    </w:p>
    <w:p w14:paraId="74D6FBAC" w14:textId="2518272B" w:rsidR="00252B01" w:rsidRPr="00252B01" w:rsidRDefault="000D380B" w:rsidP="00252B01">
      <w:pPr>
        <w:pStyle w:val="ListParagraph"/>
        <w:numPr>
          <w:ilvl w:val="1"/>
          <w:numId w:val="3"/>
        </w:numPr>
        <w:rPr>
          <w:sz w:val="28"/>
          <w:szCs w:val="28"/>
        </w:rPr>
      </w:pPr>
      <w:r>
        <w:rPr>
          <w:sz w:val="28"/>
          <w:szCs w:val="28"/>
        </w:rPr>
        <w:t>Credit revenue</w:t>
      </w:r>
    </w:p>
    <w:p w14:paraId="7151F1AD" w14:textId="112EAF22" w:rsidR="00880110" w:rsidRPr="00252B01" w:rsidRDefault="00880110" w:rsidP="00880110">
      <w:pPr>
        <w:pStyle w:val="ListParagraph"/>
        <w:numPr>
          <w:ilvl w:val="0"/>
          <w:numId w:val="1"/>
        </w:numPr>
        <w:rPr>
          <w:b/>
          <w:bCs/>
          <w:sz w:val="28"/>
          <w:szCs w:val="28"/>
        </w:rPr>
      </w:pPr>
      <w:r w:rsidRPr="00252B01">
        <w:rPr>
          <w:b/>
          <w:bCs/>
          <w:sz w:val="28"/>
          <w:szCs w:val="28"/>
        </w:rPr>
        <w:t>Expenses</w:t>
      </w:r>
    </w:p>
    <w:p w14:paraId="4701663F" w14:textId="3C0707B6" w:rsidR="00880110" w:rsidRDefault="00880110" w:rsidP="00880110">
      <w:pPr>
        <w:pStyle w:val="ListParagraph"/>
        <w:numPr>
          <w:ilvl w:val="1"/>
          <w:numId w:val="1"/>
        </w:numPr>
        <w:rPr>
          <w:sz w:val="28"/>
          <w:szCs w:val="28"/>
        </w:rPr>
      </w:pPr>
      <w:r>
        <w:rPr>
          <w:sz w:val="28"/>
          <w:szCs w:val="28"/>
        </w:rPr>
        <w:t xml:space="preserve">Recognize any expenses not previously recorded.  </w:t>
      </w:r>
    </w:p>
    <w:p w14:paraId="0CADD83A" w14:textId="47603945" w:rsidR="000D380B" w:rsidRDefault="00D42421" w:rsidP="00D42421">
      <w:pPr>
        <w:pStyle w:val="ListParagraph"/>
        <w:numPr>
          <w:ilvl w:val="1"/>
          <w:numId w:val="1"/>
        </w:numPr>
        <w:rPr>
          <w:sz w:val="28"/>
          <w:szCs w:val="28"/>
        </w:rPr>
      </w:pPr>
      <w:r>
        <w:rPr>
          <w:sz w:val="28"/>
          <w:szCs w:val="28"/>
        </w:rPr>
        <w:t>Pension expenses</w:t>
      </w:r>
    </w:p>
    <w:p w14:paraId="5181DB57" w14:textId="32BD6726" w:rsidR="00D42421" w:rsidRPr="000D380B" w:rsidRDefault="00D42421" w:rsidP="00D42421">
      <w:pPr>
        <w:pStyle w:val="ListParagraph"/>
        <w:numPr>
          <w:ilvl w:val="2"/>
          <w:numId w:val="1"/>
        </w:numPr>
        <w:rPr>
          <w:sz w:val="28"/>
          <w:szCs w:val="28"/>
        </w:rPr>
      </w:pPr>
      <w:r>
        <w:rPr>
          <w:sz w:val="28"/>
          <w:szCs w:val="28"/>
        </w:rPr>
        <w:t xml:space="preserve">Any unfunded amount related to the </w:t>
      </w:r>
      <w:r w:rsidRPr="00252B01">
        <w:rPr>
          <w:b/>
          <w:bCs/>
          <w:sz w:val="28"/>
          <w:szCs w:val="28"/>
        </w:rPr>
        <w:t>current year</w:t>
      </w:r>
      <w:r>
        <w:rPr>
          <w:sz w:val="28"/>
          <w:szCs w:val="28"/>
        </w:rPr>
        <w:t xml:space="preserve"> would be accrued and expensed. </w:t>
      </w:r>
    </w:p>
    <w:p w14:paraId="7DE27903" w14:textId="55BD6050" w:rsidR="003A6D12" w:rsidRPr="000D380B" w:rsidRDefault="00B557C6" w:rsidP="00B557C6">
      <w:pPr>
        <w:pStyle w:val="ListParagraph"/>
        <w:numPr>
          <w:ilvl w:val="0"/>
          <w:numId w:val="1"/>
        </w:numPr>
        <w:rPr>
          <w:b/>
          <w:bCs/>
          <w:sz w:val="28"/>
          <w:szCs w:val="28"/>
        </w:rPr>
      </w:pPr>
      <w:r w:rsidRPr="000D380B">
        <w:rPr>
          <w:b/>
          <w:bCs/>
          <w:sz w:val="28"/>
          <w:szCs w:val="28"/>
        </w:rPr>
        <w:t>Inter-governmental activities transactions</w:t>
      </w:r>
    </w:p>
    <w:p w14:paraId="5D24CDAE" w14:textId="1E394CBA" w:rsidR="00B557C6" w:rsidRDefault="00B557C6" w:rsidP="00B557C6">
      <w:pPr>
        <w:pStyle w:val="ListParagraph"/>
        <w:numPr>
          <w:ilvl w:val="1"/>
          <w:numId w:val="1"/>
        </w:numPr>
        <w:rPr>
          <w:sz w:val="28"/>
          <w:szCs w:val="28"/>
        </w:rPr>
      </w:pPr>
      <w:r>
        <w:rPr>
          <w:sz w:val="28"/>
          <w:szCs w:val="28"/>
        </w:rPr>
        <w:t xml:space="preserve">Eliminate any inter-governmental activities (between governmental/internal services funds) such as </w:t>
      </w:r>
    </w:p>
    <w:p w14:paraId="17414D52" w14:textId="30564B29" w:rsidR="00B557C6" w:rsidRDefault="00B557C6" w:rsidP="00B557C6">
      <w:pPr>
        <w:pStyle w:val="ListParagraph"/>
        <w:numPr>
          <w:ilvl w:val="2"/>
          <w:numId w:val="1"/>
        </w:numPr>
        <w:rPr>
          <w:sz w:val="28"/>
          <w:szCs w:val="28"/>
        </w:rPr>
      </w:pPr>
      <w:r>
        <w:rPr>
          <w:sz w:val="28"/>
          <w:szCs w:val="28"/>
        </w:rPr>
        <w:t>Transfers in/out</w:t>
      </w:r>
    </w:p>
    <w:p w14:paraId="798E2C6C" w14:textId="5511D6D7" w:rsidR="00B557C6" w:rsidRDefault="00B557C6" w:rsidP="00B557C6">
      <w:pPr>
        <w:pStyle w:val="ListParagraph"/>
        <w:numPr>
          <w:ilvl w:val="2"/>
          <w:numId w:val="1"/>
        </w:numPr>
        <w:rPr>
          <w:sz w:val="28"/>
          <w:szCs w:val="28"/>
        </w:rPr>
      </w:pPr>
      <w:r>
        <w:rPr>
          <w:sz w:val="28"/>
          <w:szCs w:val="28"/>
        </w:rPr>
        <w:t>Accounts receivable/payable</w:t>
      </w:r>
    </w:p>
    <w:p w14:paraId="286BCFCC" w14:textId="36C89DB7" w:rsidR="00B557C6" w:rsidRDefault="00B557C6" w:rsidP="00B557C6">
      <w:pPr>
        <w:pStyle w:val="ListParagraph"/>
        <w:numPr>
          <w:ilvl w:val="2"/>
          <w:numId w:val="1"/>
        </w:numPr>
        <w:rPr>
          <w:sz w:val="28"/>
          <w:szCs w:val="28"/>
        </w:rPr>
      </w:pPr>
      <w:r>
        <w:rPr>
          <w:sz w:val="28"/>
          <w:szCs w:val="28"/>
        </w:rPr>
        <w:t xml:space="preserve">Would not include transactions with an enterprise fund. </w:t>
      </w:r>
    </w:p>
    <w:p w14:paraId="49573AF0" w14:textId="13EA478F" w:rsidR="00252B01" w:rsidRPr="0078472F" w:rsidRDefault="00252B01" w:rsidP="00252B01">
      <w:pPr>
        <w:pStyle w:val="ListParagraph"/>
        <w:numPr>
          <w:ilvl w:val="0"/>
          <w:numId w:val="1"/>
        </w:numPr>
        <w:rPr>
          <w:b/>
          <w:bCs/>
          <w:sz w:val="28"/>
          <w:szCs w:val="28"/>
        </w:rPr>
      </w:pPr>
      <w:r w:rsidRPr="0078472F">
        <w:rPr>
          <w:b/>
          <w:bCs/>
          <w:sz w:val="28"/>
          <w:szCs w:val="28"/>
        </w:rPr>
        <w:t>Internal Service Funds</w:t>
      </w:r>
    </w:p>
    <w:p w14:paraId="1DC8024E" w14:textId="6A488BA2" w:rsidR="00252B01" w:rsidRDefault="00252B01" w:rsidP="00252B01">
      <w:pPr>
        <w:pStyle w:val="ListParagraph"/>
        <w:numPr>
          <w:ilvl w:val="1"/>
          <w:numId w:val="1"/>
        </w:numPr>
        <w:rPr>
          <w:sz w:val="28"/>
          <w:szCs w:val="28"/>
        </w:rPr>
      </w:pPr>
      <w:r>
        <w:rPr>
          <w:sz w:val="28"/>
          <w:szCs w:val="28"/>
        </w:rPr>
        <w:t>Assets and liabilities would be added to government-wide financial statements governmental activities.</w:t>
      </w:r>
    </w:p>
    <w:p w14:paraId="7C21BB69" w14:textId="15D75CF0" w:rsidR="00252B01" w:rsidRDefault="00252B01" w:rsidP="00252B01">
      <w:pPr>
        <w:pStyle w:val="ListParagraph"/>
        <w:numPr>
          <w:ilvl w:val="1"/>
          <w:numId w:val="1"/>
        </w:numPr>
        <w:rPr>
          <w:sz w:val="28"/>
          <w:szCs w:val="28"/>
        </w:rPr>
      </w:pPr>
      <w:r>
        <w:rPr>
          <w:sz w:val="28"/>
          <w:szCs w:val="28"/>
        </w:rPr>
        <w:t>The Net Position will be assessed for</w:t>
      </w:r>
    </w:p>
    <w:p w14:paraId="02151312" w14:textId="5EB79F73" w:rsidR="00252B01" w:rsidRDefault="00252B01" w:rsidP="00252B01">
      <w:pPr>
        <w:pStyle w:val="ListParagraph"/>
        <w:numPr>
          <w:ilvl w:val="2"/>
          <w:numId w:val="1"/>
        </w:numPr>
        <w:rPr>
          <w:sz w:val="28"/>
          <w:szCs w:val="28"/>
        </w:rPr>
      </w:pPr>
      <w:r>
        <w:rPr>
          <w:sz w:val="28"/>
          <w:szCs w:val="28"/>
        </w:rPr>
        <w:t>Revenue related to outside parties such as interest revenue would be added to revenue</w:t>
      </w:r>
    </w:p>
    <w:p w14:paraId="456CD8B1" w14:textId="68547968" w:rsidR="00252B01" w:rsidRDefault="00252B01" w:rsidP="00252B01">
      <w:pPr>
        <w:pStyle w:val="ListParagraph"/>
        <w:numPr>
          <w:ilvl w:val="3"/>
          <w:numId w:val="1"/>
        </w:numPr>
        <w:rPr>
          <w:sz w:val="28"/>
          <w:szCs w:val="28"/>
        </w:rPr>
      </w:pPr>
      <w:r>
        <w:rPr>
          <w:sz w:val="28"/>
          <w:szCs w:val="28"/>
        </w:rPr>
        <w:t>Debit net position</w:t>
      </w:r>
    </w:p>
    <w:p w14:paraId="02E25472" w14:textId="43E79E81" w:rsidR="00252B01" w:rsidRDefault="00252B01" w:rsidP="00252B01">
      <w:pPr>
        <w:pStyle w:val="ListParagraph"/>
        <w:numPr>
          <w:ilvl w:val="3"/>
          <w:numId w:val="1"/>
        </w:numPr>
        <w:rPr>
          <w:sz w:val="28"/>
          <w:szCs w:val="28"/>
        </w:rPr>
      </w:pPr>
      <w:r>
        <w:rPr>
          <w:sz w:val="28"/>
          <w:szCs w:val="28"/>
        </w:rPr>
        <w:t>Credit interest revenue</w:t>
      </w:r>
    </w:p>
    <w:p w14:paraId="587214AB" w14:textId="42D3EC19" w:rsidR="00252B01" w:rsidRDefault="00252B01" w:rsidP="00252B01">
      <w:pPr>
        <w:pStyle w:val="ListParagraph"/>
        <w:numPr>
          <w:ilvl w:val="2"/>
          <w:numId w:val="1"/>
        </w:numPr>
        <w:rPr>
          <w:sz w:val="28"/>
          <w:szCs w:val="28"/>
        </w:rPr>
      </w:pPr>
      <w:r>
        <w:rPr>
          <w:sz w:val="28"/>
          <w:szCs w:val="28"/>
        </w:rPr>
        <w:t>Ex</w:t>
      </w:r>
      <w:r w:rsidR="00306AEC">
        <w:rPr>
          <w:sz w:val="28"/>
          <w:szCs w:val="28"/>
        </w:rPr>
        <w:t xml:space="preserve">change transactions within the net position (essentially operating income) should be eliminated so that the expenditures (in total) are not overstated. </w:t>
      </w:r>
    </w:p>
    <w:p w14:paraId="79EE614D" w14:textId="282F0573" w:rsidR="00252B01" w:rsidRDefault="00252B01" w:rsidP="00252B01">
      <w:pPr>
        <w:pStyle w:val="ListParagraph"/>
        <w:numPr>
          <w:ilvl w:val="3"/>
          <w:numId w:val="1"/>
        </w:numPr>
        <w:rPr>
          <w:sz w:val="28"/>
          <w:szCs w:val="28"/>
        </w:rPr>
      </w:pPr>
      <w:r>
        <w:rPr>
          <w:sz w:val="28"/>
          <w:szCs w:val="28"/>
        </w:rPr>
        <w:t xml:space="preserve">Debit net position </w:t>
      </w:r>
    </w:p>
    <w:p w14:paraId="33AE0E61" w14:textId="4C55E51B" w:rsidR="00B70A6C" w:rsidRPr="00912775" w:rsidRDefault="00252B01" w:rsidP="009663EB">
      <w:pPr>
        <w:pStyle w:val="ListParagraph"/>
        <w:numPr>
          <w:ilvl w:val="3"/>
          <w:numId w:val="1"/>
        </w:numPr>
        <w:rPr>
          <w:sz w:val="28"/>
          <w:szCs w:val="28"/>
        </w:rPr>
      </w:pPr>
      <w:r>
        <w:rPr>
          <w:sz w:val="28"/>
          <w:szCs w:val="28"/>
        </w:rPr>
        <w:t>Credit expenditures by category</w:t>
      </w:r>
    </w:p>
    <w:p w14:paraId="24C4FC54" w14:textId="164320D7" w:rsidR="00196B81" w:rsidRPr="00912775" w:rsidRDefault="00196B81">
      <w:pPr>
        <w:rPr>
          <w:sz w:val="28"/>
          <w:szCs w:val="28"/>
        </w:rPr>
      </w:pPr>
    </w:p>
    <w:p w14:paraId="2129BF33" w14:textId="5BDD1F4D" w:rsidR="00B47997" w:rsidRPr="00912775" w:rsidRDefault="00B47997">
      <w:pPr>
        <w:rPr>
          <w:sz w:val="28"/>
          <w:szCs w:val="28"/>
        </w:rPr>
      </w:pPr>
    </w:p>
    <w:sectPr w:rsidR="00B47997" w:rsidRPr="00912775" w:rsidSect="001B4B2E">
      <w:pgSz w:w="12240" w:h="15840" w:code="1"/>
      <w:pgMar w:top="446" w:right="360"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1BFE" w14:textId="77777777" w:rsidR="00484EA4" w:rsidRDefault="00484EA4" w:rsidP="00960E43">
      <w:pPr>
        <w:spacing w:after="0" w:line="240" w:lineRule="auto"/>
      </w:pPr>
      <w:r>
        <w:separator/>
      </w:r>
    </w:p>
  </w:endnote>
  <w:endnote w:type="continuationSeparator" w:id="0">
    <w:p w14:paraId="60CFC0AF" w14:textId="77777777" w:rsidR="00484EA4" w:rsidRDefault="00484EA4" w:rsidP="0096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7D30" w14:textId="77777777" w:rsidR="00484EA4" w:rsidRDefault="00484EA4" w:rsidP="00960E43">
      <w:pPr>
        <w:spacing w:after="0" w:line="240" w:lineRule="auto"/>
      </w:pPr>
      <w:r>
        <w:separator/>
      </w:r>
    </w:p>
  </w:footnote>
  <w:footnote w:type="continuationSeparator" w:id="0">
    <w:p w14:paraId="6E70ED6F" w14:textId="77777777" w:rsidR="00484EA4" w:rsidRDefault="00484EA4" w:rsidP="0096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A8E"/>
    <w:multiLevelType w:val="hybridMultilevel"/>
    <w:tmpl w:val="3A5AE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C7198"/>
    <w:multiLevelType w:val="hybridMultilevel"/>
    <w:tmpl w:val="EF3A3620"/>
    <w:lvl w:ilvl="0" w:tplc="138073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860B2E"/>
    <w:multiLevelType w:val="hybridMultilevel"/>
    <w:tmpl w:val="C8BE95F6"/>
    <w:lvl w:ilvl="0" w:tplc="9FC245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1A"/>
    <w:rsid w:val="00000DA9"/>
    <w:rsid w:val="0000232C"/>
    <w:rsid w:val="00073469"/>
    <w:rsid w:val="00080F90"/>
    <w:rsid w:val="000B6F16"/>
    <w:rsid w:val="000C5425"/>
    <w:rsid w:val="000D1E76"/>
    <w:rsid w:val="000D380B"/>
    <w:rsid w:val="000D671A"/>
    <w:rsid w:val="000E59E6"/>
    <w:rsid w:val="00100F55"/>
    <w:rsid w:val="001222A4"/>
    <w:rsid w:val="00127500"/>
    <w:rsid w:val="00137E33"/>
    <w:rsid w:val="0014231A"/>
    <w:rsid w:val="00194A4C"/>
    <w:rsid w:val="00196B81"/>
    <w:rsid w:val="001A16C6"/>
    <w:rsid w:val="001B2DCA"/>
    <w:rsid w:val="001B4B2E"/>
    <w:rsid w:val="001F0118"/>
    <w:rsid w:val="00243E69"/>
    <w:rsid w:val="00252B01"/>
    <w:rsid w:val="002E4F2F"/>
    <w:rsid w:val="002E7502"/>
    <w:rsid w:val="00306AEC"/>
    <w:rsid w:val="003549E3"/>
    <w:rsid w:val="003766CC"/>
    <w:rsid w:val="0039292E"/>
    <w:rsid w:val="003A2035"/>
    <w:rsid w:val="003A6D12"/>
    <w:rsid w:val="003F7636"/>
    <w:rsid w:val="00436A83"/>
    <w:rsid w:val="00484EA4"/>
    <w:rsid w:val="0049087D"/>
    <w:rsid w:val="004B624E"/>
    <w:rsid w:val="004C2049"/>
    <w:rsid w:val="004F6B15"/>
    <w:rsid w:val="00503CDC"/>
    <w:rsid w:val="00531B3F"/>
    <w:rsid w:val="00532889"/>
    <w:rsid w:val="00565279"/>
    <w:rsid w:val="00596E30"/>
    <w:rsid w:val="005E5B9D"/>
    <w:rsid w:val="0061763A"/>
    <w:rsid w:val="0066788F"/>
    <w:rsid w:val="00672B5E"/>
    <w:rsid w:val="006B5EF0"/>
    <w:rsid w:val="006B7D5F"/>
    <w:rsid w:val="00703440"/>
    <w:rsid w:val="007227A6"/>
    <w:rsid w:val="00723989"/>
    <w:rsid w:val="007623F2"/>
    <w:rsid w:val="0078472F"/>
    <w:rsid w:val="0086531E"/>
    <w:rsid w:val="00880110"/>
    <w:rsid w:val="00912775"/>
    <w:rsid w:val="009158F6"/>
    <w:rsid w:val="00960E43"/>
    <w:rsid w:val="009663EB"/>
    <w:rsid w:val="009E0B57"/>
    <w:rsid w:val="00A125D3"/>
    <w:rsid w:val="00AC6138"/>
    <w:rsid w:val="00AE034C"/>
    <w:rsid w:val="00AE4C05"/>
    <w:rsid w:val="00AE7612"/>
    <w:rsid w:val="00B47997"/>
    <w:rsid w:val="00B519BC"/>
    <w:rsid w:val="00B557C6"/>
    <w:rsid w:val="00B70A6C"/>
    <w:rsid w:val="00BE333D"/>
    <w:rsid w:val="00C00252"/>
    <w:rsid w:val="00C02C59"/>
    <w:rsid w:val="00C6144E"/>
    <w:rsid w:val="00C713D8"/>
    <w:rsid w:val="00CF7722"/>
    <w:rsid w:val="00D2585F"/>
    <w:rsid w:val="00D42421"/>
    <w:rsid w:val="00D62834"/>
    <w:rsid w:val="00E177F8"/>
    <w:rsid w:val="00E61A26"/>
    <w:rsid w:val="00E74F26"/>
    <w:rsid w:val="00EF3F52"/>
    <w:rsid w:val="00F1290B"/>
    <w:rsid w:val="00F236FE"/>
    <w:rsid w:val="00F6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7F12"/>
  <w15:chartTrackingRefBased/>
  <w15:docId w15:val="{3863C417-977F-4839-BB3C-FB9DFA50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D628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
    <w:name w:val="indent"/>
    <w:basedOn w:val="Normal"/>
    <w:rsid w:val="00D628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43"/>
  </w:style>
  <w:style w:type="paragraph" w:styleId="Footer">
    <w:name w:val="footer"/>
    <w:basedOn w:val="Normal"/>
    <w:link w:val="FooterChar"/>
    <w:uiPriority w:val="99"/>
    <w:unhideWhenUsed/>
    <w:rsid w:val="0096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43"/>
  </w:style>
  <w:style w:type="paragraph" w:styleId="BalloonText">
    <w:name w:val="Balloon Text"/>
    <w:basedOn w:val="Normal"/>
    <w:link w:val="BalloonTextChar"/>
    <w:uiPriority w:val="99"/>
    <w:semiHidden/>
    <w:unhideWhenUsed/>
    <w:rsid w:val="0012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00"/>
    <w:rPr>
      <w:rFonts w:ascii="Segoe UI" w:hAnsi="Segoe UI" w:cs="Segoe UI"/>
      <w:sz w:val="18"/>
      <w:szCs w:val="18"/>
    </w:rPr>
  </w:style>
  <w:style w:type="paragraph" w:styleId="ListParagraph">
    <w:name w:val="List Paragraph"/>
    <w:basedOn w:val="Normal"/>
    <w:uiPriority w:val="34"/>
    <w:qFormat/>
    <w:rsid w:val="003A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Christy</dc:creator>
  <cp:keywords/>
  <dc:description/>
  <cp:lastModifiedBy>Lynch, Christy</cp:lastModifiedBy>
  <cp:revision>3</cp:revision>
  <cp:lastPrinted>2020-10-10T17:05:00Z</cp:lastPrinted>
  <dcterms:created xsi:type="dcterms:W3CDTF">2020-10-13T19:49:00Z</dcterms:created>
  <dcterms:modified xsi:type="dcterms:W3CDTF">2020-10-13T20:07:00Z</dcterms:modified>
</cp:coreProperties>
</file>