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60" w:rsidRDefault="00DE0B60" w:rsidP="00840355">
      <w:pPr>
        <w:pStyle w:val="NoSpacing"/>
        <w:jc w:val="both"/>
        <w:rPr>
          <w:b/>
        </w:rPr>
      </w:pPr>
      <w:r w:rsidRPr="00B06D35">
        <w:rPr>
          <w:b/>
        </w:rPr>
        <w:t>List of Ratios</w:t>
      </w:r>
      <w:r>
        <w:rPr>
          <w:b/>
        </w:rPr>
        <w:t xml:space="preserve"> – Know All Ratios Listed</w:t>
      </w:r>
    </w:p>
    <w:p w:rsidR="004E3E10" w:rsidRPr="00B06D35" w:rsidRDefault="004E3E10" w:rsidP="00840355">
      <w:pPr>
        <w:pStyle w:val="NoSpacing"/>
        <w:jc w:val="both"/>
        <w:rPr>
          <w:b/>
        </w:rPr>
      </w:pPr>
      <w:bookmarkStart w:id="0" w:name="_GoBack"/>
      <w:bookmarkEnd w:id="0"/>
      <w:r w:rsidRPr="004E3E10">
        <w:rPr>
          <w:b/>
          <w:highlight w:val="yellow"/>
        </w:rPr>
        <w:t>Study by memorizing and using the practice set in Connect</w:t>
      </w:r>
      <w:r>
        <w:rPr>
          <w:b/>
        </w:rPr>
        <w:t xml:space="preserve"> </w:t>
      </w:r>
    </w:p>
    <w:p w:rsidR="00DE0B60" w:rsidRPr="001F6C68" w:rsidRDefault="00DE0B60" w:rsidP="00840355">
      <w:pPr>
        <w:pStyle w:val="NoSpacing"/>
        <w:jc w:val="both"/>
      </w:pPr>
      <w:r w:rsidRPr="001F6C68">
        <w:t xml:space="preserve">Current </w:t>
      </w:r>
      <w:proofErr w:type="gramStart"/>
      <w:r w:rsidRPr="001F6C68">
        <w:t>Ratio  =</w:t>
      </w:r>
      <w:proofErr w:type="gramEnd"/>
      <w:r w:rsidRPr="001F6C68">
        <w:t xml:space="preserve"> current assets/current </w:t>
      </w:r>
      <w:proofErr w:type="spellStart"/>
      <w:r w:rsidRPr="001F6C68">
        <w:t>liab</w:t>
      </w:r>
      <w:proofErr w:type="spellEnd"/>
      <w:r w:rsidRPr="001F6C68">
        <w:t>.</w:t>
      </w:r>
    </w:p>
    <w:p w:rsidR="00DE0B60" w:rsidRPr="001F6C68" w:rsidRDefault="00DE0B60" w:rsidP="00840355">
      <w:pPr>
        <w:pStyle w:val="NoSpacing"/>
        <w:jc w:val="both"/>
      </w:pPr>
      <w:r w:rsidRPr="001F6C68">
        <w:t xml:space="preserve">Profit Margin </w:t>
      </w:r>
      <w:proofErr w:type="gramStart"/>
      <w:r w:rsidRPr="001F6C68">
        <w:t>Ratio  =</w:t>
      </w:r>
      <w:proofErr w:type="gramEnd"/>
      <w:r w:rsidRPr="001F6C68">
        <w:t xml:space="preserve"> net income / net sales</w:t>
      </w:r>
    </w:p>
    <w:p w:rsidR="00DE0B60" w:rsidRPr="001F6C68" w:rsidRDefault="00DE0B60" w:rsidP="00840355">
      <w:pPr>
        <w:pStyle w:val="NoSpacing"/>
        <w:jc w:val="both"/>
      </w:pPr>
      <w:r w:rsidRPr="001F6C68">
        <w:t xml:space="preserve">Gross Margin </w:t>
      </w:r>
      <w:proofErr w:type="gramStart"/>
      <w:r w:rsidRPr="001F6C68">
        <w:t>Ratio  =</w:t>
      </w:r>
      <w:proofErr w:type="gramEnd"/>
      <w:r w:rsidRPr="001F6C68">
        <w:t xml:space="preserve"> net sales – cost of goods sold / net sales</w:t>
      </w:r>
    </w:p>
    <w:p w:rsidR="00DE0B60" w:rsidRPr="001F6C68" w:rsidRDefault="00DE0B60" w:rsidP="00840355">
      <w:pPr>
        <w:pStyle w:val="NoSpacing"/>
        <w:jc w:val="both"/>
      </w:pPr>
      <w:r w:rsidRPr="001F6C68">
        <w:t xml:space="preserve">Earnings Per </w:t>
      </w:r>
      <w:proofErr w:type="gramStart"/>
      <w:r w:rsidRPr="001F6C68">
        <w:t>Share  =</w:t>
      </w:r>
      <w:proofErr w:type="gramEnd"/>
      <w:r w:rsidRPr="001F6C68">
        <w:t xml:space="preserve"> net income – pref. Div. / weighted avg. shares outstanding</w:t>
      </w:r>
    </w:p>
    <w:p w:rsidR="00DE0B60" w:rsidRPr="001F6C68" w:rsidRDefault="00DE0B60" w:rsidP="00840355">
      <w:pPr>
        <w:pStyle w:val="NoSpacing"/>
        <w:jc w:val="both"/>
      </w:pPr>
      <w:r w:rsidRPr="001F6C68">
        <w:t xml:space="preserve">Price Earnings </w:t>
      </w:r>
      <w:proofErr w:type="gramStart"/>
      <w:r w:rsidRPr="001F6C68">
        <w:t>Ratio  =</w:t>
      </w:r>
      <w:proofErr w:type="gramEnd"/>
      <w:r w:rsidRPr="001F6C68">
        <w:t xml:space="preserve"> market price per share / earnings per share</w:t>
      </w:r>
    </w:p>
    <w:p w:rsidR="00DE0B60" w:rsidRDefault="00DE0B60" w:rsidP="00840355">
      <w:pPr>
        <w:pStyle w:val="NoSpacing"/>
        <w:jc w:val="both"/>
      </w:pPr>
      <w:r w:rsidRPr="001F6C68">
        <w:t>Dividend Yield = Annual cash dividends per share/ Market value per share</w:t>
      </w:r>
    </w:p>
    <w:p w:rsidR="00DE0B60" w:rsidRDefault="00DE0B60" w:rsidP="00840355">
      <w:pPr>
        <w:pStyle w:val="NoSpacing"/>
        <w:jc w:val="both"/>
      </w:pPr>
      <w:r w:rsidRPr="00E66BCF">
        <w:t>Book Value per Share = shareholders equity to common shares/common shares outstanding</w:t>
      </w:r>
    </w:p>
    <w:p w:rsidR="00C36FEF" w:rsidRDefault="00C36FEF" w:rsidP="00840355">
      <w:pPr>
        <w:jc w:val="both"/>
      </w:pPr>
    </w:p>
    <w:p w:rsidR="00DE0B60" w:rsidRPr="00840355" w:rsidRDefault="00DE0B60" w:rsidP="00840355">
      <w:pPr>
        <w:spacing w:after="0" w:line="240" w:lineRule="auto"/>
        <w:jc w:val="both"/>
        <w:rPr>
          <w:rFonts w:ascii="Times New Roman" w:eastAsia="Times New Roman" w:hAnsi="Times New Roman"/>
          <w:b/>
          <w:sz w:val="24"/>
          <w:szCs w:val="24"/>
        </w:rPr>
      </w:pPr>
      <w:r w:rsidRPr="00DE0B60">
        <w:rPr>
          <w:rFonts w:ascii="Times New Roman" w:eastAsia="Times New Roman" w:hAnsi="Times New Roman"/>
          <w:b/>
          <w:sz w:val="24"/>
          <w:szCs w:val="24"/>
        </w:rPr>
        <w:t>Current Ratio</w:t>
      </w:r>
      <w:r w:rsidRPr="000F1B7C">
        <w:rPr>
          <w:rFonts w:ascii="Times New Roman" w:eastAsia="Times New Roman" w:hAnsi="Times New Roman"/>
          <w:b/>
          <w:sz w:val="24"/>
          <w:szCs w:val="24"/>
        </w:rPr>
        <w:t xml:space="preserve"> </w:t>
      </w:r>
      <w:r w:rsidRPr="000F1B7C">
        <w:rPr>
          <w:rFonts w:ascii="Times New Roman" w:eastAsia="Times New Roman" w:hAnsi="Times New Roman"/>
          <w:sz w:val="24"/>
          <w:szCs w:val="24"/>
        </w:rPr>
        <w:t xml:space="preserve">An important use of financial statements is to help assess a company's ability to pay its debts </w:t>
      </w:r>
      <w:proofErr w:type="gramStart"/>
      <w:r w:rsidRPr="000F1B7C">
        <w:rPr>
          <w:rFonts w:ascii="Times New Roman" w:eastAsia="Times New Roman" w:hAnsi="Times New Roman"/>
          <w:sz w:val="24"/>
          <w:szCs w:val="24"/>
        </w:rPr>
        <w:t>in the near future</w:t>
      </w:r>
      <w:proofErr w:type="gramEnd"/>
      <w:r w:rsidRPr="000F1B7C">
        <w:rPr>
          <w:rFonts w:ascii="Times New Roman" w:eastAsia="Times New Roman" w:hAnsi="Times New Roman"/>
          <w:sz w:val="24"/>
          <w:szCs w:val="24"/>
        </w:rPr>
        <w:t xml:space="preserve">. Such analysis affects decisions by suppliers when allowing a company to buy on credit. The </w:t>
      </w:r>
      <w:r w:rsidRPr="000F1B7C">
        <w:rPr>
          <w:rFonts w:ascii="Times New Roman" w:eastAsia="Times New Roman" w:hAnsi="Times New Roman"/>
          <w:b/>
          <w:bCs/>
          <w:sz w:val="24"/>
          <w:szCs w:val="24"/>
        </w:rPr>
        <w:t>current ratio</w:t>
      </w:r>
      <w:r w:rsidRPr="000F1B7C">
        <w:rPr>
          <w:rFonts w:ascii="Times New Roman" w:eastAsia="Times New Roman" w:hAnsi="Times New Roman"/>
          <w:sz w:val="24"/>
          <w:szCs w:val="24"/>
        </w:rPr>
        <w:t xml:space="preserve"> is one measure of a company's ability to pay its short-term obligations. It is defined as current assets divided by current liabilities.</w:t>
      </w:r>
    </w:p>
    <w:p w:rsidR="00DE0B60" w:rsidRPr="000F1B7C" w:rsidRDefault="00DE0B60" w:rsidP="00840355">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B7385E2" wp14:editId="29E3F95B">
            <wp:extent cx="2354580" cy="464820"/>
            <wp:effectExtent l="0" t="0" r="7620" b="0"/>
            <wp:docPr id="12" name="Picture 12" descr="http://textflow.mheducation.com/figures/007742994X/wiL25389_0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07376c" descr="http://textflow.mheducation.com/figures/007742994X/wiL25389_032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4580" cy="464820"/>
                    </a:xfrm>
                    <a:prstGeom prst="rect">
                      <a:avLst/>
                    </a:prstGeom>
                    <a:noFill/>
                    <a:ln>
                      <a:noFill/>
                    </a:ln>
                  </pic:spPr>
                </pic:pic>
              </a:graphicData>
            </a:graphic>
          </wp:inline>
        </w:drawing>
      </w:r>
    </w:p>
    <w:p w:rsidR="00840355" w:rsidRDefault="00840355" w:rsidP="00840355">
      <w:pPr>
        <w:jc w:val="both"/>
        <w:rPr>
          <w:rFonts w:ascii="Times New Roman" w:eastAsia="Times New Roman" w:hAnsi="Times New Roman"/>
          <w:b/>
          <w:sz w:val="24"/>
          <w:szCs w:val="24"/>
        </w:rPr>
      </w:pPr>
    </w:p>
    <w:p w:rsidR="00DE0B60" w:rsidRPr="00840355" w:rsidRDefault="00DE0B60" w:rsidP="00840355">
      <w:pPr>
        <w:jc w:val="both"/>
        <w:rPr>
          <w:rFonts w:ascii="Times New Roman" w:eastAsia="Times New Roman" w:hAnsi="Times New Roman"/>
          <w:b/>
          <w:sz w:val="24"/>
          <w:szCs w:val="24"/>
        </w:rPr>
      </w:pPr>
      <w:r w:rsidRPr="00DE0B60">
        <w:rPr>
          <w:rFonts w:ascii="Times New Roman" w:eastAsia="Times New Roman" w:hAnsi="Times New Roman"/>
          <w:b/>
          <w:sz w:val="24"/>
          <w:szCs w:val="24"/>
        </w:rPr>
        <w:t>Profit Margin</w:t>
      </w:r>
      <w:r w:rsidRPr="00C101AA">
        <w:rPr>
          <w:rFonts w:ascii="Times New Roman" w:eastAsia="Times New Roman" w:hAnsi="Times New Roman"/>
          <w:b/>
          <w:sz w:val="24"/>
          <w:szCs w:val="24"/>
        </w:rPr>
        <w:t xml:space="preserve"> </w:t>
      </w:r>
      <w:r w:rsidRPr="00C101AA">
        <w:rPr>
          <w:rFonts w:ascii="Times New Roman" w:eastAsia="Times New Roman" w:hAnsi="Times New Roman"/>
          <w:sz w:val="24"/>
          <w:szCs w:val="24"/>
        </w:rPr>
        <w:t xml:space="preserve">A company's operating efficiency and profitability can be expressed by two components. The first is </w:t>
      </w:r>
      <w:r w:rsidRPr="00C101AA">
        <w:rPr>
          <w:rFonts w:ascii="Times New Roman" w:eastAsia="Times New Roman" w:hAnsi="Times New Roman"/>
          <w:i/>
          <w:iCs/>
          <w:sz w:val="24"/>
          <w:szCs w:val="24"/>
        </w:rPr>
        <w:t>profit margin</w:t>
      </w:r>
      <w:r w:rsidRPr="00C101AA">
        <w:rPr>
          <w:rFonts w:ascii="Times New Roman" w:eastAsia="Times New Roman" w:hAnsi="Times New Roman"/>
          <w:sz w:val="24"/>
          <w:szCs w:val="24"/>
        </w:rPr>
        <w:t>, which reflects a company's ability to earn net income from sales</w:t>
      </w:r>
      <w:r>
        <w:rPr>
          <w:rFonts w:ascii="Times New Roman" w:eastAsia="Times New Roman" w:hAnsi="Times New Roman"/>
          <w:sz w:val="24"/>
          <w:szCs w:val="24"/>
        </w:rPr>
        <w:t>.</w:t>
      </w:r>
      <w:r w:rsidRPr="00C101AA">
        <w:rPr>
          <w:rFonts w:ascii="Times New Roman" w:eastAsia="Times New Roman" w:hAnsi="Times New Roman"/>
          <w:sz w:val="24"/>
          <w:szCs w:val="24"/>
        </w:rPr>
        <w:t xml:space="preserve"> </w:t>
      </w:r>
      <w:r w:rsidRPr="00DE0B60">
        <w:rPr>
          <w:rFonts w:ascii="Times New Roman" w:eastAsia="Times New Roman" w:hAnsi="Times New Roman"/>
          <w:sz w:val="24"/>
          <w:szCs w:val="24"/>
        </w:rPr>
        <w:t xml:space="preserve">This ratio is interpreted as reflecting the percent of profit in each dollar of sales. </w:t>
      </w:r>
    </w:p>
    <w:p w:rsidR="00840355" w:rsidRPr="00840355" w:rsidRDefault="00840355" w:rsidP="00840355">
      <w:pPr>
        <w:spacing w:before="100" w:beforeAutospacing="1" w:after="100" w:afterAutospacing="1" w:line="240" w:lineRule="auto"/>
        <w:jc w:val="both"/>
        <w:rPr>
          <w:rFonts w:ascii="Times New Roman" w:eastAsia="Times New Roman" w:hAnsi="Times New Roman"/>
          <w:b/>
          <w:sz w:val="24"/>
          <w:szCs w:val="24"/>
        </w:rPr>
      </w:pPr>
      <w:r w:rsidRPr="00840355">
        <w:rPr>
          <w:rFonts w:ascii="Times New Roman" w:eastAsia="Times New Roman" w:hAnsi="Times New Roman"/>
          <w:b/>
          <w:sz w:val="24"/>
          <w:szCs w:val="24"/>
        </w:rPr>
        <w:t>Calculated as Net Income/Net Sales</w:t>
      </w:r>
    </w:p>
    <w:p w:rsidR="00DE0B60" w:rsidRPr="00840355" w:rsidRDefault="00DE0B60" w:rsidP="00840355">
      <w:pPr>
        <w:spacing w:after="0" w:line="240" w:lineRule="auto"/>
        <w:jc w:val="both"/>
        <w:rPr>
          <w:rFonts w:ascii="Times New Roman" w:eastAsia="Times New Roman" w:hAnsi="Times New Roman"/>
          <w:b/>
          <w:sz w:val="24"/>
          <w:szCs w:val="24"/>
        </w:rPr>
      </w:pPr>
      <w:r w:rsidRPr="00DE0B60">
        <w:rPr>
          <w:rFonts w:ascii="Times New Roman" w:eastAsia="Times New Roman" w:hAnsi="Times New Roman"/>
          <w:b/>
          <w:sz w:val="24"/>
          <w:szCs w:val="24"/>
        </w:rPr>
        <w:t>Gross Margin Ratio</w:t>
      </w:r>
      <w:r w:rsidRPr="000F1B7C">
        <w:rPr>
          <w:rFonts w:ascii="Times New Roman" w:eastAsia="Times New Roman" w:hAnsi="Times New Roman"/>
          <w:b/>
          <w:sz w:val="24"/>
          <w:szCs w:val="24"/>
        </w:rPr>
        <w:t xml:space="preserve"> </w:t>
      </w:r>
      <w:r w:rsidRPr="000F1B7C">
        <w:rPr>
          <w:rFonts w:ascii="Times New Roman" w:eastAsia="Times New Roman" w:hAnsi="Times New Roman"/>
          <w:sz w:val="24"/>
          <w:szCs w:val="24"/>
        </w:rPr>
        <w:t xml:space="preserve">The cost of goods sold makes up much of a merchandiser's expenses. Without sufficient gross profit, a merchandiser will likely fail. Users often compute the gross margin ratio to help understand this relationship. It differs from the profit margin ratio in that it excludes all costs except cost of goods sold. The </w:t>
      </w:r>
      <w:r w:rsidRPr="000F1B7C">
        <w:rPr>
          <w:rFonts w:ascii="Times New Roman" w:eastAsia="Times New Roman" w:hAnsi="Times New Roman"/>
          <w:b/>
          <w:bCs/>
          <w:sz w:val="24"/>
          <w:szCs w:val="24"/>
        </w:rPr>
        <w:t>gross margin ratio</w:t>
      </w:r>
      <w:r w:rsidRPr="000F1B7C">
        <w:rPr>
          <w:rFonts w:ascii="Times New Roman" w:eastAsia="Times New Roman" w:hAnsi="Times New Roman"/>
          <w:sz w:val="24"/>
          <w:szCs w:val="24"/>
        </w:rPr>
        <w:t xml:space="preserve"> (also called </w:t>
      </w:r>
      <w:r w:rsidRPr="000F1B7C">
        <w:rPr>
          <w:rFonts w:ascii="Times New Roman" w:eastAsia="Times New Roman" w:hAnsi="Times New Roman"/>
          <w:i/>
          <w:iCs/>
          <w:sz w:val="24"/>
          <w:szCs w:val="24"/>
        </w:rPr>
        <w:t>gross profit ratio</w:t>
      </w:r>
      <w:r w:rsidRPr="000F1B7C">
        <w:rPr>
          <w:rFonts w:ascii="Times New Roman" w:eastAsia="Times New Roman" w:hAnsi="Times New Roman"/>
          <w:sz w:val="24"/>
          <w:szCs w:val="24"/>
        </w:rPr>
        <w:t xml:space="preserve">) is defined as </w:t>
      </w:r>
      <w:r w:rsidRPr="000F1B7C">
        <w:rPr>
          <w:rFonts w:ascii="Times New Roman" w:eastAsia="Times New Roman" w:hAnsi="Times New Roman"/>
          <w:i/>
          <w:iCs/>
          <w:sz w:val="24"/>
          <w:szCs w:val="24"/>
        </w:rPr>
        <w:t>gross margin</w:t>
      </w:r>
      <w:r w:rsidRPr="000F1B7C">
        <w:rPr>
          <w:rFonts w:ascii="Times New Roman" w:eastAsia="Times New Roman" w:hAnsi="Times New Roman"/>
          <w:sz w:val="24"/>
          <w:szCs w:val="24"/>
        </w:rPr>
        <w:t xml:space="preserve"> (net sales minus cost of goods sold) divided </w:t>
      </w:r>
      <w:r w:rsidR="00AF0D37">
        <w:rPr>
          <w:rFonts w:ascii="Times New Roman" w:eastAsia="Times New Roman" w:hAnsi="Times New Roman"/>
          <w:sz w:val="24"/>
          <w:szCs w:val="24"/>
        </w:rPr>
        <w:t>by net sales.</w:t>
      </w:r>
    </w:p>
    <w:p w:rsidR="00DE0B60" w:rsidRPr="000F1B7C" w:rsidRDefault="00AF0D37" w:rsidP="00840355">
      <w:pPr>
        <w:spacing w:after="0" w:line="240" w:lineRule="auto"/>
        <w:jc w:val="both"/>
        <w:rPr>
          <w:rFonts w:ascii="Times New Roman" w:eastAsia="Times New Roman" w:hAnsi="Times New Roman"/>
          <w:sz w:val="24"/>
          <w:szCs w:val="24"/>
        </w:rPr>
      </w:pPr>
      <w:r>
        <w:rPr>
          <w:noProof/>
        </w:rPr>
        <w:drawing>
          <wp:inline distT="0" distB="0" distL="0" distR="0">
            <wp:extent cx="3511296" cy="548640"/>
            <wp:effectExtent l="0" t="0" r="0" b="3810"/>
            <wp:docPr id="2" name="Picture 2" descr="http://textflow.mheducation.com/figures/007742994X/wiL25389_0418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flow.mheducation.com/figures/007742994X/wiL25389_0418_l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1296" cy="548640"/>
                    </a:xfrm>
                    <a:prstGeom prst="rect">
                      <a:avLst/>
                    </a:prstGeom>
                    <a:noFill/>
                    <a:ln>
                      <a:noFill/>
                    </a:ln>
                  </pic:spPr>
                </pic:pic>
              </a:graphicData>
            </a:graphic>
          </wp:inline>
        </w:drawing>
      </w:r>
    </w:p>
    <w:p w:rsidR="00840355" w:rsidRDefault="00840355" w:rsidP="00840355">
      <w:pPr>
        <w:jc w:val="both"/>
        <w:rPr>
          <w:rFonts w:ascii="Times New Roman" w:eastAsia="Times New Roman" w:hAnsi="Times New Roman"/>
          <w:b/>
          <w:sz w:val="24"/>
          <w:szCs w:val="24"/>
        </w:rPr>
      </w:pPr>
    </w:p>
    <w:p w:rsidR="00B562DA" w:rsidRPr="00482F26" w:rsidRDefault="00B562DA" w:rsidP="00840355">
      <w:pPr>
        <w:jc w:val="both"/>
        <w:rPr>
          <w:rFonts w:ascii="Times New Roman" w:eastAsia="Times New Roman" w:hAnsi="Times New Roman"/>
          <w:sz w:val="24"/>
          <w:szCs w:val="24"/>
        </w:rPr>
      </w:pPr>
      <w:r w:rsidRPr="00B562DA">
        <w:rPr>
          <w:rFonts w:ascii="Times New Roman" w:eastAsia="Times New Roman" w:hAnsi="Times New Roman"/>
          <w:b/>
          <w:sz w:val="24"/>
          <w:szCs w:val="24"/>
        </w:rPr>
        <w:t>Earnings per Share</w:t>
      </w:r>
      <w:r w:rsidRPr="00482F26">
        <w:rPr>
          <w:rFonts w:ascii="Times New Roman" w:eastAsia="Times New Roman" w:hAnsi="Times New Roman"/>
          <w:b/>
          <w:sz w:val="24"/>
          <w:szCs w:val="24"/>
        </w:rPr>
        <w:t xml:space="preserve"> </w:t>
      </w:r>
      <w:r w:rsidRPr="00482F26">
        <w:rPr>
          <w:rFonts w:ascii="Times New Roman" w:eastAsia="Times New Roman" w:hAnsi="Times New Roman"/>
          <w:sz w:val="24"/>
          <w:szCs w:val="24"/>
        </w:rPr>
        <w:t xml:space="preserve">The income statement reports </w:t>
      </w:r>
      <w:r w:rsidRPr="00482F26">
        <w:rPr>
          <w:rFonts w:ascii="Times New Roman" w:eastAsia="Times New Roman" w:hAnsi="Times New Roman"/>
          <w:b/>
          <w:bCs/>
          <w:sz w:val="24"/>
          <w:szCs w:val="24"/>
        </w:rPr>
        <w:t>earnings per share</w:t>
      </w:r>
      <w:r w:rsidRPr="00482F26">
        <w:rPr>
          <w:rFonts w:ascii="Times New Roman" w:eastAsia="Times New Roman" w:hAnsi="Times New Roman"/>
          <w:sz w:val="24"/>
          <w:szCs w:val="24"/>
        </w:rPr>
        <w:t xml:space="preserve">, also called </w:t>
      </w:r>
      <w:r w:rsidRPr="00482F26">
        <w:rPr>
          <w:rFonts w:ascii="Times New Roman" w:eastAsia="Times New Roman" w:hAnsi="Times New Roman"/>
          <w:i/>
          <w:iCs/>
          <w:sz w:val="24"/>
          <w:szCs w:val="24"/>
        </w:rPr>
        <w:t>EPS</w:t>
      </w:r>
      <w:r w:rsidRPr="00482F26">
        <w:rPr>
          <w:rFonts w:ascii="Times New Roman" w:eastAsia="Times New Roman" w:hAnsi="Times New Roman"/>
          <w:sz w:val="24"/>
          <w:szCs w:val="24"/>
        </w:rPr>
        <w:t xml:space="preserve"> or </w:t>
      </w:r>
      <w:r w:rsidRPr="00482F26">
        <w:rPr>
          <w:rFonts w:ascii="Times New Roman" w:eastAsia="Times New Roman" w:hAnsi="Times New Roman"/>
          <w:i/>
          <w:iCs/>
          <w:sz w:val="24"/>
          <w:szCs w:val="24"/>
        </w:rPr>
        <w:t>net income per share</w:t>
      </w:r>
      <w:r w:rsidRPr="00482F26">
        <w:rPr>
          <w:rFonts w:ascii="Times New Roman" w:eastAsia="Times New Roman" w:hAnsi="Times New Roman"/>
          <w:sz w:val="24"/>
          <w:szCs w:val="24"/>
        </w:rPr>
        <w:t>, which is the amount of income earned per each share of a company's outstanding common stock. When a company has no preferred stock, then preferred dividends are zero. The weighted-average common shares outstanding is measured over the income reporting period; its computation is explained in advanced courses.</w:t>
      </w:r>
    </w:p>
    <w:p w:rsidR="00B562DA" w:rsidRPr="00482F26" w:rsidRDefault="00B562DA" w:rsidP="00840355">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7933FB65" wp14:editId="5A405BA2">
            <wp:extent cx="4617720" cy="495300"/>
            <wp:effectExtent l="0" t="0" r="0" b="0"/>
            <wp:docPr id="29" name="Picture 29" descr="http://textflow.mheducation.com/figures/007742994X/wiL25389_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24008c" descr="http://textflow.mheducation.com/figures/007742994X/wiL25389_11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7720" cy="495300"/>
                    </a:xfrm>
                    <a:prstGeom prst="rect">
                      <a:avLst/>
                    </a:prstGeom>
                    <a:noFill/>
                    <a:ln>
                      <a:noFill/>
                    </a:ln>
                  </pic:spPr>
                </pic:pic>
              </a:graphicData>
            </a:graphic>
          </wp:inline>
        </w:drawing>
      </w:r>
    </w:p>
    <w:p w:rsidR="00B562DA" w:rsidRPr="00482F26" w:rsidRDefault="00B562DA" w:rsidP="00840355">
      <w:pPr>
        <w:spacing w:before="100" w:beforeAutospacing="1" w:after="100" w:afterAutospacing="1" w:line="240" w:lineRule="auto"/>
        <w:jc w:val="both"/>
        <w:rPr>
          <w:rFonts w:ascii="Times New Roman" w:eastAsia="Times New Roman" w:hAnsi="Times New Roman"/>
          <w:sz w:val="24"/>
          <w:szCs w:val="24"/>
        </w:rPr>
      </w:pPr>
      <w:r w:rsidRPr="00482F26">
        <w:rPr>
          <w:rFonts w:ascii="Times New Roman" w:eastAsia="Times New Roman" w:hAnsi="Times New Roman"/>
          <w:sz w:val="24"/>
          <w:szCs w:val="24"/>
        </w:rPr>
        <w:t xml:space="preserve">To illustrate, assume that Quantum Co. earns $40,000 net income in 2011 and declares dividends of $7,500 on its noncumulative preferred stock. Quantum has 5,000 weighted-average common shares outstanding during 2011. Its basic EPS is </w:t>
      </w:r>
    </w:p>
    <w:p w:rsidR="00B562DA" w:rsidRPr="00482F26" w:rsidRDefault="00B562DA" w:rsidP="00840355">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72083F20" wp14:editId="416A9055">
            <wp:extent cx="3352800" cy="495300"/>
            <wp:effectExtent l="0" t="0" r="0" b="0"/>
            <wp:docPr id="28" name="Picture 28" descr="http://textflow.mheducation.com/figures/007742994X/wiL25389_eq1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24011c" descr="http://textflow.mheducation.com/figures/007742994X/wiL25389_eq11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495300"/>
                    </a:xfrm>
                    <a:prstGeom prst="rect">
                      <a:avLst/>
                    </a:prstGeom>
                    <a:noFill/>
                    <a:ln>
                      <a:noFill/>
                    </a:ln>
                  </pic:spPr>
                </pic:pic>
              </a:graphicData>
            </a:graphic>
          </wp:inline>
        </w:drawing>
      </w:r>
    </w:p>
    <w:p w:rsidR="00DE0B60" w:rsidRPr="00DE0B60" w:rsidRDefault="00DE0B60" w:rsidP="00840355">
      <w:pPr>
        <w:spacing w:after="0" w:line="240" w:lineRule="auto"/>
        <w:jc w:val="both"/>
        <w:rPr>
          <w:rFonts w:ascii="Times New Roman" w:eastAsia="Times New Roman" w:hAnsi="Times New Roman"/>
          <w:sz w:val="24"/>
          <w:szCs w:val="24"/>
        </w:rPr>
      </w:pPr>
    </w:p>
    <w:p w:rsidR="00DE0B60" w:rsidRPr="00DE0B60" w:rsidRDefault="00DE0B60" w:rsidP="00840355">
      <w:pPr>
        <w:spacing w:after="0" w:line="240" w:lineRule="auto"/>
        <w:jc w:val="both"/>
        <w:rPr>
          <w:rFonts w:ascii="Times New Roman" w:eastAsia="Times New Roman" w:hAnsi="Times New Roman"/>
          <w:sz w:val="24"/>
          <w:szCs w:val="24"/>
        </w:rPr>
      </w:pPr>
    </w:p>
    <w:p w:rsidR="001823BA" w:rsidRDefault="001823BA" w:rsidP="00840355">
      <w:pPr>
        <w:jc w:val="both"/>
      </w:pPr>
    </w:p>
    <w:p w:rsidR="001823BA" w:rsidRPr="00840355" w:rsidRDefault="001823BA" w:rsidP="00840355">
      <w:pPr>
        <w:jc w:val="both"/>
      </w:pPr>
      <w:r w:rsidRPr="001823BA">
        <w:rPr>
          <w:rFonts w:ascii="Times New Roman" w:eastAsia="Times New Roman" w:hAnsi="Times New Roman"/>
          <w:b/>
          <w:sz w:val="24"/>
          <w:szCs w:val="24"/>
        </w:rPr>
        <w:t>Price-Earnings Ratio</w:t>
      </w:r>
      <w:r w:rsidRPr="00482F26">
        <w:rPr>
          <w:rFonts w:ascii="Times New Roman" w:eastAsia="Times New Roman" w:hAnsi="Times New Roman"/>
          <w:b/>
          <w:sz w:val="24"/>
          <w:szCs w:val="24"/>
        </w:rPr>
        <w:t xml:space="preserve"> </w:t>
      </w:r>
      <w:r w:rsidRPr="00482F26">
        <w:rPr>
          <w:rFonts w:ascii="Times New Roman" w:eastAsia="Times New Roman" w:hAnsi="Times New Roman"/>
          <w:sz w:val="24"/>
          <w:szCs w:val="24"/>
        </w:rPr>
        <w:t xml:space="preserve">A stock's market value is determined by its </w:t>
      </w:r>
      <w:r w:rsidRPr="00482F26">
        <w:rPr>
          <w:rFonts w:ascii="Times New Roman" w:eastAsia="Times New Roman" w:hAnsi="Times New Roman"/>
          <w:i/>
          <w:iCs/>
          <w:sz w:val="24"/>
          <w:szCs w:val="24"/>
        </w:rPr>
        <w:t>expected</w:t>
      </w:r>
      <w:r w:rsidRPr="00482F26">
        <w:rPr>
          <w:rFonts w:ascii="Times New Roman" w:eastAsia="Times New Roman" w:hAnsi="Times New Roman"/>
          <w:sz w:val="24"/>
          <w:szCs w:val="24"/>
        </w:rPr>
        <w:t xml:space="preserve"> future cash flows. A comparison of a company's EPS and its market value per share reveals information about market expectations. This comparison is traditionally made using a </w:t>
      </w:r>
      <w:r w:rsidRPr="00482F26">
        <w:rPr>
          <w:rFonts w:ascii="Times New Roman" w:eastAsia="Times New Roman" w:hAnsi="Times New Roman"/>
          <w:b/>
          <w:bCs/>
          <w:sz w:val="24"/>
          <w:szCs w:val="24"/>
        </w:rPr>
        <w:t>price-earnings</w:t>
      </w:r>
      <w:r w:rsidRPr="00482F26">
        <w:rPr>
          <w:rFonts w:ascii="Times New Roman" w:eastAsia="Times New Roman" w:hAnsi="Times New Roman"/>
          <w:sz w:val="24"/>
          <w:szCs w:val="24"/>
        </w:rPr>
        <w:t xml:space="preserve"> (or </w:t>
      </w:r>
      <w:r w:rsidRPr="00482F26">
        <w:rPr>
          <w:rFonts w:ascii="Times New Roman" w:eastAsia="Times New Roman" w:hAnsi="Times New Roman"/>
          <w:b/>
          <w:bCs/>
          <w:sz w:val="24"/>
          <w:szCs w:val="24"/>
        </w:rPr>
        <w:t>PE</w:t>
      </w:r>
      <w:r w:rsidRPr="00482F26">
        <w:rPr>
          <w:rFonts w:ascii="Times New Roman" w:eastAsia="Times New Roman" w:hAnsi="Times New Roman"/>
          <w:sz w:val="24"/>
          <w:szCs w:val="24"/>
        </w:rPr>
        <w:t xml:space="preserve">) </w:t>
      </w:r>
      <w:r w:rsidRPr="00482F26">
        <w:rPr>
          <w:rFonts w:ascii="Times New Roman" w:eastAsia="Times New Roman" w:hAnsi="Times New Roman"/>
          <w:b/>
          <w:bCs/>
          <w:sz w:val="24"/>
          <w:szCs w:val="24"/>
        </w:rPr>
        <w:t>ratio</w:t>
      </w:r>
      <w:r>
        <w:rPr>
          <w:rFonts w:ascii="Times New Roman" w:eastAsia="Times New Roman" w:hAnsi="Times New Roman"/>
          <w:sz w:val="24"/>
          <w:szCs w:val="24"/>
        </w:rPr>
        <w:t xml:space="preserve">.  </w:t>
      </w:r>
      <w:r w:rsidRPr="00482F26">
        <w:rPr>
          <w:rFonts w:ascii="Times New Roman" w:eastAsia="Times New Roman" w:hAnsi="Times New Roman"/>
          <w:sz w:val="24"/>
          <w:szCs w:val="24"/>
        </w:rPr>
        <w:t xml:space="preserve">Some analysts interpret this ratio as what price the market is willing to pay for a company's current earnings stream. </w:t>
      </w:r>
    </w:p>
    <w:p w:rsidR="001823BA" w:rsidRPr="00482F26" w:rsidRDefault="00054E74" w:rsidP="00840355">
      <w:pPr>
        <w:spacing w:after="0" w:line="240" w:lineRule="auto"/>
        <w:jc w:val="both"/>
        <w:rPr>
          <w:rFonts w:ascii="Times New Roman" w:eastAsia="Times New Roman" w:hAnsi="Times New Roman"/>
          <w:sz w:val="24"/>
          <w:szCs w:val="24"/>
        </w:rPr>
      </w:pPr>
      <w:r>
        <w:rPr>
          <w:noProof/>
        </w:rPr>
        <w:drawing>
          <wp:inline distT="0" distB="0" distL="0" distR="0">
            <wp:extent cx="3364992" cy="594360"/>
            <wp:effectExtent l="0" t="0" r="6985" b="0"/>
            <wp:docPr id="4" name="Picture 4" descr="http://textflow.mheducation.com/figures/007742994X/wiL25389_1118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flow.mheducation.com/figures/007742994X/wiL25389_1118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992" cy="594360"/>
                    </a:xfrm>
                    <a:prstGeom prst="rect">
                      <a:avLst/>
                    </a:prstGeom>
                    <a:noFill/>
                    <a:ln>
                      <a:noFill/>
                    </a:ln>
                  </pic:spPr>
                </pic:pic>
              </a:graphicData>
            </a:graphic>
          </wp:inline>
        </w:drawing>
      </w:r>
    </w:p>
    <w:p w:rsidR="00DE0B60" w:rsidRDefault="00DE0B60" w:rsidP="00840355">
      <w:pPr>
        <w:jc w:val="both"/>
      </w:pPr>
    </w:p>
    <w:p w:rsidR="00021026" w:rsidRPr="00840355" w:rsidRDefault="00021026" w:rsidP="00840355">
      <w:pPr>
        <w:jc w:val="both"/>
      </w:pPr>
      <w:r w:rsidRPr="00021026">
        <w:rPr>
          <w:rFonts w:ascii="Times New Roman" w:eastAsia="Times New Roman" w:hAnsi="Times New Roman"/>
          <w:b/>
          <w:sz w:val="24"/>
          <w:szCs w:val="24"/>
        </w:rPr>
        <w:t>Dividend Yield</w:t>
      </w:r>
      <w:r w:rsidRPr="00482F26">
        <w:rPr>
          <w:rFonts w:ascii="Times New Roman" w:eastAsia="Times New Roman" w:hAnsi="Times New Roman"/>
          <w:b/>
          <w:sz w:val="24"/>
          <w:szCs w:val="24"/>
        </w:rPr>
        <w:t xml:space="preserve"> </w:t>
      </w:r>
      <w:r w:rsidRPr="00482F26">
        <w:rPr>
          <w:rFonts w:ascii="Times New Roman" w:eastAsia="Times New Roman" w:hAnsi="Times New Roman"/>
          <w:sz w:val="24"/>
          <w:szCs w:val="24"/>
        </w:rPr>
        <w:t xml:space="preserve">Investors buy shares of a company's stock in anticipation of receiving a return from either or both cash dividends and stock price increases. Stocks that pay large dividends on a regular basis, called </w:t>
      </w:r>
      <w:r w:rsidRPr="00482F26">
        <w:rPr>
          <w:rFonts w:ascii="Times New Roman" w:eastAsia="Times New Roman" w:hAnsi="Times New Roman"/>
          <w:i/>
          <w:iCs/>
          <w:sz w:val="24"/>
          <w:szCs w:val="24"/>
        </w:rPr>
        <w:t>income stocks</w:t>
      </w:r>
      <w:r w:rsidRPr="00482F26">
        <w:rPr>
          <w:rFonts w:ascii="Times New Roman" w:eastAsia="Times New Roman" w:hAnsi="Times New Roman"/>
          <w:sz w:val="24"/>
          <w:szCs w:val="24"/>
        </w:rPr>
        <w:t xml:space="preserve">, are attractive to investors who want recurring cash flows from their investments. </w:t>
      </w:r>
    </w:p>
    <w:p w:rsidR="00021026" w:rsidRDefault="00021026" w:rsidP="00840355">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2E31B319" wp14:editId="43B08147">
            <wp:extent cx="3261360" cy="480060"/>
            <wp:effectExtent l="0" t="0" r="0" b="0"/>
            <wp:docPr id="23" name="Picture 23" descr="http://textflow.mheducation.com/figures/007742994X/wiL25389_1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24043c" descr="http://textflow.mheducation.com/figures/007742994X/wiL25389_11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1360" cy="480060"/>
                    </a:xfrm>
                    <a:prstGeom prst="rect">
                      <a:avLst/>
                    </a:prstGeom>
                    <a:noFill/>
                    <a:ln>
                      <a:noFill/>
                    </a:ln>
                  </pic:spPr>
                </pic:pic>
              </a:graphicData>
            </a:graphic>
          </wp:inline>
        </w:drawing>
      </w:r>
    </w:p>
    <w:p w:rsidR="00021026" w:rsidRPr="00482F26" w:rsidRDefault="00021026" w:rsidP="00840355">
      <w:pPr>
        <w:spacing w:after="0" w:line="240" w:lineRule="auto"/>
        <w:jc w:val="both"/>
        <w:rPr>
          <w:rFonts w:ascii="Times New Roman" w:eastAsia="Times New Roman" w:hAnsi="Times New Roman"/>
          <w:sz w:val="24"/>
          <w:szCs w:val="24"/>
        </w:rPr>
      </w:pPr>
    </w:p>
    <w:p w:rsidR="00021026" w:rsidRPr="00482F26" w:rsidRDefault="00021026" w:rsidP="00840355">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655C474C" wp14:editId="20282BE4">
            <wp:extent cx="5242560" cy="769620"/>
            <wp:effectExtent l="0" t="0" r="0" b="0"/>
            <wp:docPr id="22" name="Picture 22" descr="http://textflow.mheducation.com/figures/007742994X/wiL25389_1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24046c" descr="http://textflow.mheducation.com/figures/007742994X/wiL25389_11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560" cy="769620"/>
                    </a:xfrm>
                    <a:prstGeom prst="rect">
                      <a:avLst/>
                    </a:prstGeom>
                    <a:noFill/>
                    <a:ln>
                      <a:noFill/>
                    </a:ln>
                  </pic:spPr>
                </pic:pic>
              </a:graphicData>
            </a:graphic>
          </wp:inline>
        </w:drawing>
      </w:r>
    </w:p>
    <w:p w:rsidR="00054E74" w:rsidRDefault="00054E74" w:rsidP="00840355">
      <w:pPr>
        <w:jc w:val="both"/>
      </w:pPr>
    </w:p>
    <w:p w:rsidR="00A613B1" w:rsidRPr="00840355" w:rsidRDefault="00A613B1" w:rsidP="00840355">
      <w:pPr>
        <w:spacing w:after="0" w:line="240" w:lineRule="auto"/>
        <w:jc w:val="both"/>
        <w:rPr>
          <w:rFonts w:ascii="Times New Roman" w:eastAsia="Times New Roman" w:hAnsi="Times New Roman"/>
          <w:b/>
          <w:sz w:val="24"/>
          <w:szCs w:val="24"/>
        </w:rPr>
      </w:pPr>
      <w:r w:rsidRPr="00A613B1">
        <w:rPr>
          <w:rFonts w:ascii="Times New Roman" w:eastAsia="Times New Roman" w:hAnsi="Times New Roman"/>
          <w:b/>
          <w:sz w:val="24"/>
          <w:szCs w:val="24"/>
        </w:rPr>
        <w:t>Book Value per Share</w:t>
      </w:r>
      <w:r w:rsidRPr="00482F26">
        <w:rPr>
          <w:rFonts w:ascii="Times New Roman" w:eastAsia="Times New Roman" w:hAnsi="Times New Roman"/>
          <w:b/>
          <w:sz w:val="24"/>
          <w:szCs w:val="24"/>
        </w:rPr>
        <w:t xml:space="preserve"> </w:t>
      </w:r>
      <w:r w:rsidR="00840355">
        <w:rPr>
          <w:rFonts w:ascii="Times New Roman" w:eastAsia="Times New Roman" w:hAnsi="Times New Roman"/>
          <w:b/>
          <w:sz w:val="24"/>
          <w:szCs w:val="24"/>
        </w:rPr>
        <w:t xml:space="preserve"> </w:t>
      </w:r>
      <w:r w:rsidRPr="00482F26">
        <w:rPr>
          <w:rFonts w:ascii="Times New Roman" w:eastAsia="Times New Roman" w:hAnsi="Times New Roman"/>
          <w:b/>
          <w:bCs/>
          <w:sz w:val="24"/>
          <w:szCs w:val="24"/>
        </w:rPr>
        <w:t>Book value per common share</w:t>
      </w:r>
      <w:r w:rsidR="00840355">
        <w:rPr>
          <w:rFonts w:ascii="Times New Roman" w:eastAsia="Times New Roman" w:hAnsi="Times New Roman"/>
          <w:sz w:val="24"/>
          <w:szCs w:val="24"/>
        </w:rPr>
        <w:t xml:space="preserve"> </w:t>
      </w:r>
      <w:r w:rsidRPr="00482F26">
        <w:rPr>
          <w:rFonts w:ascii="Times New Roman" w:eastAsia="Times New Roman" w:hAnsi="Times New Roman"/>
          <w:sz w:val="24"/>
          <w:szCs w:val="24"/>
        </w:rPr>
        <w:t xml:space="preserve">reflects the amount of equity applicable to </w:t>
      </w:r>
      <w:r w:rsidRPr="00482F26">
        <w:rPr>
          <w:rFonts w:ascii="Times New Roman" w:eastAsia="Times New Roman" w:hAnsi="Times New Roman"/>
          <w:i/>
          <w:iCs/>
          <w:sz w:val="24"/>
          <w:szCs w:val="24"/>
        </w:rPr>
        <w:t>common</w:t>
      </w:r>
      <w:r w:rsidRPr="00482F26">
        <w:rPr>
          <w:rFonts w:ascii="Times New Roman" w:eastAsia="Times New Roman" w:hAnsi="Times New Roman"/>
          <w:sz w:val="24"/>
          <w:szCs w:val="24"/>
        </w:rPr>
        <w:t xml:space="preserve"> shares on a per share basis. To illustra</w:t>
      </w:r>
      <w:r>
        <w:rPr>
          <w:rFonts w:ascii="Times New Roman" w:eastAsia="Times New Roman" w:hAnsi="Times New Roman"/>
          <w:sz w:val="24"/>
          <w:szCs w:val="24"/>
        </w:rPr>
        <w:t>te, we use Dillon Snowboards</w:t>
      </w:r>
      <w:r w:rsidRPr="00482F26">
        <w:rPr>
          <w:rFonts w:ascii="Times New Roman" w:eastAsia="Times New Roman" w:hAnsi="Times New Roman"/>
          <w:sz w:val="24"/>
          <w:szCs w:val="24"/>
        </w:rPr>
        <w:t xml:space="preserve"> has 30,000 outstanding common shares, and the stockholders' equity applicable to common shares is $365,000. Dillon's book value per common share is $12.17, computed as $365,000 divided by 30,000 shares.</w:t>
      </w:r>
    </w:p>
    <w:p w:rsidR="00A613B1" w:rsidRPr="00482F26" w:rsidRDefault="00A613B1" w:rsidP="00840355">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445ECB7" wp14:editId="1996F941">
            <wp:extent cx="5219700" cy="480060"/>
            <wp:effectExtent l="0" t="0" r="0" b="0"/>
            <wp:docPr id="21" name="Picture 21" descr="http://textflow.mheducation.com/figures/007742994X/wiL25389_1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24058c" descr="http://textflow.mheducation.com/figures/007742994X/wiL25389_11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480060"/>
                    </a:xfrm>
                    <a:prstGeom prst="rect">
                      <a:avLst/>
                    </a:prstGeom>
                    <a:noFill/>
                    <a:ln>
                      <a:noFill/>
                    </a:ln>
                  </pic:spPr>
                </pic:pic>
              </a:graphicData>
            </a:graphic>
          </wp:inline>
        </w:drawing>
      </w:r>
    </w:p>
    <w:p w:rsidR="00A613B1" w:rsidRDefault="00A613B1" w:rsidP="00840355">
      <w:pPr>
        <w:jc w:val="both"/>
        <w:rPr>
          <w:noProof/>
        </w:rPr>
      </w:pPr>
    </w:p>
    <w:p w:rsidR="00890B09" w:rsidRDefault="00890B09" w:rsidP="00840355">
      <w:pPr>
        <w:jc w:val="both"/>
      </w:pPr>
      <w:r>
        <w:rPr>
          <w:noProof/>
        </w:rPr>
        <w:lastRenderedPageBreak/>
        <w:drawing>
          <wp:inline distT="0" distB="0" distL="0" distR="0" wp14:anchorId="3211C609" wp14:editId="6C435E3B">
            <wp:extent cx="5943600" cy="62083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208395"/>
                    </a:xfrm>
                    <a:prstGeom prst="rect">
                      <a:avLst/>
                    </a:prstGeom>
                  </pic:spPr>
                </pic:pic>
              </a:graphicData>
            </a:graphic>
          </wp:inline>
        </w:drawing>
      </w:r>
    </w:p>
    <w:sectPr w:rsidR="00890B09" w:rsidSect="00840355">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60"/>
    <w:rsid w:val="00021026"/>
    <w:rsid w:val="00054E74"/>
    <w:rsid w:val="001823BA"/>
    <w:rsid w:val="004E3E10"/>
    <w:rsid w:val="006F48EB"/>
    <w:rsid w:val="00840355"/>
    <w:rsid w:val="00890B09"/>
    <w:rsid w:val="00A613B1"/>
    <w:rsid w:val="00AF0D37"/>
    <w:rsid w:val="00B562DA"/>
    <w:rsid w:val="00B61370"/>
    <w:rsid w:val="00C36FEF"/>
    <w:rsid w:val="00DE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2252"/>
  <w15:docId w15:val="{A06A20D8-B469-45D1-9876-4FCD56BE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B60"/>
    <w:pPr>
      <w:spacing w:after="0" w:line="240" w:lineRule="auto"/>
    </w:pPr>
    <w:rPr>
      <w:rFonts w:ascii="Times New Roman" w:eastAsia="Calibri" w:hAnsi="Times New Roman"/>
      <w:sz w:val="24"/>
      <w:szCs w:val="24"/>
    </w:rPr>
  </w:style>
  <w:style w:type="paragraph" w:styleId="BalloonText">
    <w:name w:val="Balloon Text"/>
    <w:basedOn w:val="Normal"/>
    <w:link w:val="BalloonTextChar"/>
    <w:uiPriority w:val="99"/>
    <w:semiHidden/>
    <w:unhideWhenUsed/>
    <w:rsid w:val="00DE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60"/>
    <w:rPr>
      <w:rFonts w:ascii="Tahoma" w:hAnsi="Tahoma" w:cs="Tahoma"/>
      <w:sz w:val="16"/>
      <w:szCs w:val="16"/>
    </w:rPr>
  </w:style>
  <w:style w:type="character" w:customStyle="1" w:styleId="Title1">
    <w:name w:val="Title1"/>
    <w:basedOn w:val="DefaultParagraphFont"/>
    <w:rsid w:val="00DE0B60"/>
  </w:style>
  <w:style w:type="paragraph" w:styleId="NormalWeb">
    <w:name w:val="Normal (Web)"/>
    <w:basedOn w:val="Normal"/>
    <w:uiPriority w:val="99"/>
    <w:semiHidden/>
    <w:unhideWhenUsed/>
    <w:rsid w:val="00DE0B60"/>
    <w:pPr>
      <w:spacing w:before="100" w:beforeAutospacing="1" w:after="100" w:afterAutospacing="1" w:line="240" w:lineRule="auto"/>
    </w:pPr>
    <w:rPr>
      <w:rFonts w:ascii="Times New Roman" w:eastAsia="Times New Roman" w:hAnsi="Times New Roman"/>
      <w:sz w:val="24"/>
      <w:szCs w:val="24"/>
    </w:rPr>
  </w:style>
  <w:style w:type="character" w:customStyle="1" w:styleId="organizationname">
    <w:name w:val="organizationname"/>
    <w:basedOn w:val="DefaultParagraphFont"/>
    <w:rsid w:val="00DE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38614">
      <w:bodyDiv w:val="1"/>
      <w:marLeft w:val="0"/>
      <w:marRight w:val="0"/>
      <w:marTop w:val="0"/>
      <w:marBottom w:val="0"/>
      <w:divBdr>
        <w:top w:val="none" w:sz="0" w:space="0" w:color="auto"/>
        <w:left w:val="none" w:sz="0" w:space="0" w:color="auto"/>
        <w:bottom w:val="none" w:sz="0" w:space="0" w:color="auto"/>
        <w:right w:val="none" w:sz="0" w:space="0" w:color="auto"/>
      </w:divBdr>
      <w:divsChild>
        <w:div w:id="885140711">
          <w:marLeft w:val="0"/>
          <w:marRight w:val="0"/>
          <w:marTop w:val="0"/>
          <w:marBottom w:val="0"/>
          <w:divBdr>
            <w:top w:val="none" w:sz="0" w:space="0" w:color="auto"/>
            <w:left w:val="none" w:sz="0" w:space="0" w:color="auto"/>
            <w:bottom w:val="none" w:sz="0" w:space="0" w:color="auto"/>
            <w:right w:val="none" w:sz="0" w:space="0" w:color="auto"/>
          </w:divBdr>
          <w:divsChild>
            <w:div w:id="351733905">
              <w:marLeft w:val="0"/>
              <w:marRight w:val="0"/>
              <w:marTop w:val="0"/>
              <w:marBottom w:val="0"/>
              <w:divBdr>
                <w:top w:val="none" w:sz="0" w:space="0" w:color="auto"/>
                <w:left w:val="none" w:sz="0" w:space="0" w:color="auto"/>
                <w:bottom w:val="none" w:sz="0" w:space="0" w:color="auto"/>
                <w:right w:val="none" w:sz="0" w:space="0" w:color="auto"/>
              </w:divBdr>
            </w:div>
          </w:divsChild>
        </w:div>
        <w:div w:id="1969160482">
          <w:marLeft w:val="0"/>
          <w:marRight w:val="0"/>
          <w:marTop w:val="0"/>
          <w:marBottom w:val="0"/>
          <w:divBdr>
            <w:top w:val="none" w:sz="0" w:space="0" w:color="auto"/>
            <w:left w:val="none" w:sz="0" w:space="0" w:color="auto"/>
            <w:bottom w:val="none" w:sz="0" w:space="0" w:color="auto"/>
            <w:right w:val="none" w:sz="0" w:space="0" w:color="auto"/>
          </w:divBdr>
          <w:divsChild>
            <w:div w:id="979723907">
              <w:marLeft w:val="0"/>
              <w:marRight w:val="0"/>
              <w:marTop w:val="0"/>
              <w:marBottom w:val="0"/>
              <w:divBdr>
                <w:top w:val="none" w:sz="0" w:space="0" w:color="auto"/>
                <w:left w:val="none" w:sz="0" w:space="0" w:color="auto"/>
                <w:bottom w:val="none" w:sz="0" w:space="0" w:color="auto"/>
                <w:right w:val="none" w:sz="0" w:space="0" w:color="auto"/>
              </w:divBdr>
            </w:div>
            <w:div w:id="1902865499">
              <w:marLeft w:val="0"/>
              <w:marRight w:val="0"/>
              <w:marTop w:val="0"/>
              <w:marBottom w:val="0"/>
              <w:divBdr>
                <w:top w:val="none" w:sz="0" w:space="0" w:color="auto"/>
                <w:left w:val="none" w:sz="0" w:space="0" w:color="auto"/>
                <w:bottom w:val="none" w:sz="0" w:space="0" w:color="auto"/>
                <w:right w:val="none" w:sz="0" w:space="0" w:color="auto"/>
              </w:divBdr>
              <w:divsChild>
                <w:div w:id="11273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Christy Lynch Chauvin</cp:lastModifiedBy>
  <cp:revision>3</cp:revision>
  <dcterms:created xsi:type="dcterms:W3CDTF">2017-11-11T15:27:00Z</dcterms:created>
  <dcterms:modified xsi:type="dcterms:W3CDTF">2017-11-11T15:33:00Z</dcterms:modified>
</cp:coreProperties>
</file>