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CF" w:rsidRDefault="00F051CF" w:rsidP="00F051CF">
      <w:pPr>
        <w:spacing w:after="0"/>
        <w:jc w:val="both"/>
      </w:pPr>
      <w:r w:rsidRPr="00A614AC">
        <w:rPr>
          <w:b/>
        </w:rPr>
        <w:t>Depreciation</w:t>
      </w:r>
    </w:p>
    <w:p w:rsidR="00F051CF" w:rsidRDefault="00F051CF" w:rsidP="00F051CF">
      <w:pPr>
        <w:spacing w:after="0"/>
        <w:jc w:val="both"/>
      </w:pPr>
    </w:p>
    <w:p w:rsidR="00F051CF" w:rsidRDefault="00F051CF" w:rsidP="00F051CF">
      <w:pPr>
        <w:spacing w:after="0"/>
        <w:jc w:val="both"/>
      </w:pPr>
      <w:r>
        <w:t xml:space="preserve">Companies purchase equipment to produce income.  These assets benefit future periods, and the cost of the asset must be rationally and systematically expensed against future revenues. The rational and systematic allocation of the cost of equipment to expense is called depreciation.  It is not a determination of value or impairment of the asset but an allocation of expense. Depreciation expense is found on the Income </w:t>
      </w:r>
      <w:proofErr w:type="spellStart"/>
      <w:r>
        <w:t>Stmt</w:t>
      </w:r>
      <w:proofErr w:type="spellEnd"/>
      <w:r>
        <w:t xml:space="preserve"> and is the debit in the AJE.  The corresponding Balance Sheet account credited is not the asse</w:t>
      </w:r>
      <w:r w:rsidR="00234E70">
        <w:t>t.   Assets are shown on the Balance Sheet</w:t>
      </w:r>
      <w:r>
        <w:t xml:space="preserve"> at the purchase price amount to provide readers of the Financial </w:t>
      </w:r>
      <w:proofErr w:type="spellStart"/>
      <w:r>
        <w:t>Stmt</w:t>
      </w:r>
      <w:r w:rsidR="00234E70">
        <w:t>s</w:t>
      </w:r>
      <w:proofErr w:type="spellEnd"/>
      <w:r>
        <w:t xml:space="preserve"> with information on the amount spent by the company on its infrastructure.  No, rather an account called “Accumulated Depreciation” is credited.  Accumulated depreciation is associated with each class of asset and is considered a contra asset account.  It is contra to the asset and is shown on the balance sheet along with the asset. </w:t>
      </w:r>
    </w:p>
    <w:p w:rsidR="00F051CF" w:rsidRDefault="00F051CF" w:rsidP="00F051CF">
      <w:pPr>
        <w:spacing w:after="0"/>
        <w:jc w:val="both"/>
      </w:pPr>
    </w:p>
    <w:p w:rsidR="00F051CF" w:rsidRDefault="00F051CF" w:rsidP="00F051CF">
      <w:pPr>
        <w:spacing w:after="0"/>
        <w:jc w:val="center"/>
      </w:pPr>
      <w:r w:rsidRPr="00C30DA7">
        <w:rPr>
          <w:noProof/>
        </w:rPr>
        <w:drawing>
          <wp:inline distT="0" distB="0" distL="0" distR="0" wp14:anchorId="2D1F81CE" wp14:editId="2CC394C7">
            <wp:extent cx="259080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891540"/>
                    </a:xfrm>
                    <a:prstGeom prst="rect">
                      <a:avLst/>
                    </a:prstGeom>
                    <a:noFill/>
                    <a:ln>
                      <a:noFill/>
                    </a:ln>
                  </pic:spPr>
                </pic:pic>
              </a:graphicData>
            </a:graphic>
          </wp:inline>
        </w:drawing>
      </w:r>
    </w:p>
    <w:p w:rsidR="00F051CF" w:rsidRDefault="00F051CF" w:rsidP="00F051CF">
      <w:pPr>
        <w:spacing w:after="0"/>
        <w:jc w:val="both"/>
      </w:pPr>
    </w:p>
    <w:p w:rsidR="00F051CF" w:rsidRDefault="00F051CF" w:rsidP="00F051CF">
      <w:pPr>
        <w:spacing w:after="0"/>
        <w:jc w:val="both"/>
      </w:pPr>
      <w:r>
        <w:t>Book value of an asset is the historical cost of the asset minus accumulated depreciation.</w:t>
      </w:r>
    </w:p>
    <w:p w:rsidR="00F051CF" w:rsidRDefault="00F051CF" w:rsidP="00F051CF">
      <w:pPr>
        <w:spacing w:after="0"/>
        <w:jc w:val="both"/>
      </w:pPr>
    </w:p>
    <w:p w:rsidR="00F051CF" w:rsidRDefault="00F051CF" w:rsidP="00F051CF">
      <w:pPr>
        <w:spacing w:after="0"/>
        <w:jc w:val="both"/>
      </w:pPr>
      <w:r>
        <w:t>The AJE for depreciation is determined by several factors:</w:t>
      </w:r>
    </w:p>
    <w:p w:rsidR="00F051CF" w:rsidRDefault="00F051CF" w:rsidP="00F051CF">
      <w:pPr>
        <w:pStyle w:val="ListParagraph"/>
        <w:numPr>
          <w:ilvl w:val="0"/>
          <w:numId w:val="1"/>
        </w:numPr>
        <w:jc w:val="both"/>
        <w:rPr>
          <w:rFonts w:asciiTheme="minorHAnsi" w:hAnsiTheme="minorHAnsi"/>
          <w:sz w:val="22"/>
          <w:szCs w:val="22"/>
        </w:rPr>
      </w:pPr>
      <w:r w:rsidRPr="00C30DA7">
        <w:rPr>
          <w:rFonts w:asciiTheme="minorHAnsi" w:hAnsiTheme="minorHAnsi"/>
          <w:sz w:val="22"/>
          <w:szCs w:val="22"/>
        </w:rPr>
        <w:t xml:space="preserve">Cost of the </w:t>
      </w:r>
      <w:r>
        <w:rPr>
          <w:rFonts w:asciiTheme="minorHAnsi" w:hAnsiTheme="minorHAnsi"/>
          <w:sz w:val="22"/>
          <w:szCs w:val="22"/>
        </w:rPr>
        <w:t>asset</w:t>
      </w:r>
    </w:p>
    <w:p w:rsidR="00F051CF" w:rsidRDefault="00F051CF" w:rsidP="00F051CF">
      <w:pPr>
        <w:pStyle w:val="ListParagraph"/>
        <w:numPr>
          <w:ilvl w:val="0"/>
          <w:numId w:val="1"/>
        </w:numPr>
        <w:jc w:val="both"/>
        <w:rPr>
          <w:rFonts w:asciiTheme="minorHAnsi" w:hAnsiTheme="minorHAnsi"/>
          <w:sz w:val="22"/>
          <w:szCs w:val="22"/>
        </w:rPr>
      </w:pPr>
      <w:r>
        <w:rPr>
          <w:rFonts w:asciiTheme="minorHAnsi" w:hAnsiTheme="minorHAnsi"/>
          <w:sz w:val="22"/>
          <w:szCs w:val="22"/>
        </w:rPr>
        <w:t xml:space="preserve">Salvage value of the asset </w:t>
      </w:r>
    </w:p>
    <w:p w:rsidR="00F051CF" w:rsidRDefault="00F051CF" w:rsidP="00F051CF">
      <w:pPr>
        <w:pStyle w:val="ListParagraph"/>
        <w:numPr>
          <w:ilvl w:val="0"/>
          <w:numId w:val="1"/>
        </w:numPr>
        <w:jc w:val="both"/>
        <w:rPr>
          <w:rFonts w:asciiTheme="minorHAnsi" w:hAnsiTheme="minorHAnsi"/>
          <w:sz w:val="22"/>
          <w:szCs w:val="22"/>
        </w:rPr>
      </w:pPr>
      <w:r>
        <w:rPr>
          <w:rFonts w:asciiTheme="minorHAnsi" w:hAnsiTheme="minorHAnsi"/>
          <w:sz w:val="22"/>
          <w:szCs w:val="22"/>
        </w:rPr>
        <w:t>Useful life of the asset</w:t>
      </w:r>
    </w:p>
    <w:p w:rsidR="00F051CF" w:rsidRDefault="00F051CF" w:rsidP="00F051CF">
      <w:pPr>
        <w:jc w:val="both"/>
        <w:rPr>
          <w:rFonts w:asciiTheme="minorHAnsi" w:hAnsiTheme="minorHAnsi"/>
        </w:rPr>
      </w:pPr>
    </w:p>
    <w:p w:rsidR="00F051CF" w:rsidRDefault="00F051CF" w:rsidP="00F051CF">
      <w:pPr>
        <w:jc w:val="both"/>
        <w:rPr>
          <w:rFonts w:asciiTheme="minorHAnsi" w:hAnsiTheme="minorHAnsi"/>
        </w:rPr>
      </w:pPr>
      <w:r>
        <w:rPr>
          <w:rFonts w:asciiTheme="minorHAnsi" w:hAnsiTheme="minorHAnsi"/>
        </w:rPr>
        <w:t xml:space="preserve">To calculate depreciation (We will only learn straight line depreciation in this chapter.  Later in the semester, we will learn other depreciation methods).  </w:t>
      </w:r>
    </w:p>
    <w:p w:rsidR="00F051CF" w:rsidRDefault="00F051CF" w:rsidP="00F051CF">
      <w:pPr>
        <w:jc w:val="center"/>
        <w:rPr>
          <w:rFonts w:asciiTheme="minorHAnsi" w:hAnsiTheme="minorHAnsi"/>
        </w:rPr>
      </w:pPr>
      <w:r w:rsidRPr="00C30DA7">
        <w:rPr>
          <w:noProof/>
        </w:rPr>
        <w:drawing>
          <wp:inline distT="0" distB="0" distL="0" distR="0" wp14:anchorId="662F6112" wp14:editId="42ABD405">
            <wp:extent cx="2590800" cy="1417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417320"/>
                    </a:xfrm>
                    <a:prstGeom prst="rect">
                      <a:avLst/>
                    </a:prstGeom>
                    <a:noFill/>
                    <a:ln>
                      <a:noFill/>
                    </a:ln>
                  </pic:spPr>
                </pic:pic>
              </a:graphicData>
            </a:graphic>
          </wp:inline>
        </w:drawing>
      </w:r>
    </w:p>
    <w:p w:rsidR="00F051CF" w:rsidRDefault="00F051CF" w:rsidP="00F051CF">
      <w:pPr>
        <w:jc w:val="both"/>
        <w:rPr>
          <w:rFonts w:asciiTheme="minorHAnsi" w:hAnsiTheme="minorHAnsi"/>
        </w:rPr>
      </w:pPr>
      <w:r>
        <w:rPr>
          <w:rFonts w:asciiTheme="minorHAnsi" w:hAnsiTheme="minorHAnsi"/>
        </w:rPr>
        <w:t xml:space="preserve">We will always use monthly depreciation because the calculation can accommodate monthly, yearly and partial year calculations.  The trick is to look at the time period that has elapsed since the Financial </w:t>
      </w:r>
      <w:proofErr w:type="spellStart"/>
      <w:r>
        <w:rPr>
          <w:rFonts w:asciiTheme="minorHAnsi" w:hAnsiTheme="minorHAnsi"/>
        </w:rPr>
        <w:t>Stmts</w:t>
      </w:r>
      <w:proofErr w:type="spellEnd"/>
      <w:r>
        <w:rPr>
          <w:rFonts w:asciiTheme="minorHAnsi" w:hAnsiTheme="minorHAnsi"/>
        </w:rPr>
        <w:t xml:space="preserve"> were prepared last to determine how many months of depreciation expense is warranted.  If one month, the AJE:</w:t>
      </w:r>
    </w:p>
    <w:p w:rsidR="00F051CF" w:rsidRDefault="00F051CF" w:rsidP="00F051CF">
      <w:pPr>
        <w:spacing w:after="0"/>
        <w:jc w:val="both"/>
        <w:rPr>
          <w:rFonts w:asciiTheme="minorHAnsi" w:hAnsiTheme="minorHAnsi"/>
        </w:rPr>
      </w:pPr>
      <w:r>
        <w:rPr>
          <w:rFonts w:asciiTheme="minorHAnsi" w:hAnsiTheme="minorHAnsi"/>
        </w:rPr>
        <w:t>Depreciation Expense (I/S)</w:t>
      </w:r>
      <w:r>
        <w:rPr>
          <w:rFonts w:asciiTheme="minorHAnsi" w:hAnsiTheme="minorHAnsi"/>
        </w:rPr>
        <w:tab/>
      </w:r>
      <w:r>
        <w:rPr>
          <w:rFonts w:asciiTheme="minorHAnsi" w:hAnsiTheme="minorHAnsi"/>
        </w:rPr>
        <w:tab/>
        <w:t>375</w:t>
      </w:r>
    </w:p>
    <w:p w:rsidR="00501F2A" w:rsidRDefault="00F051CF" w:rsidP="00F051CF">
      <w:pPr>
        <w:spacing w:after="0"/>
        <w:jc w:val="both"/>
        <w:rPr>
          <w:rFonts w:asciiTheme="minorHAnsi" w:hAnsiTheme="minorHAnsi"/>
        </w:rPr>
      </w:pPr>
      <w:r>
        <w:rPr>
          <w:rFonts w:asciiTheme="minorHAnsi" w:hAnsiTheme="minorHAnsi"/>
        </w:rPr>
        <w:tab/>
        <w:t>Accumulated Depreciation (B/S)</w:t>
      </w:r>
      <w:r>
        <w:rPr>
          <w:rFonts w:asciiTheme="minorHAnsi" w:hAnsiTheme="minorHAnsi"/>
        </w:rPr>
        <w:tab/>
      </w:r>
      <w:r>
        <w:rPr>
          <w:rFonts w:asciiTheme="minorHAnsi" w:hAnsiTheme="minorHAnsi"/>
        </w:rPr>
        <w:tab/>
        <w:t>375</w:t>
      </w:r>
    </w:p>
    <w:p w:rsidR="00F051CF" w:rsidRDefault="00F051CF" w:rsidP="00F051CF">
      <w:pPr>
        <w:spacing w:after="0"/>
        <w:jc w:val="both"/>
        <w:rPr>
          <w:rFonts w:asciiTheme="minorHAnsi" w:hAnsiTheme="minorHAnsi"/>
        </w:rPr>
      </w:pPr>
    </w:p>
    <w:p w:rsidR="00F051CF" w:rsidRPr="00234E70" w:rsidRDefault="00F051CF" w:rsidP="00F051CF">
      <w:pPr>
        <w:spacing w:after="0"/>
        <w:jc w:val="both"/>
        <w:rPr>
          <w:b/>
        </w:rPr>
      </w:pPr>
      <w:bookmarkStart w:id="0" w:name="_GoBack"/>
      <w:r w:rsidRPr="00234E70">
        <w:rPr>
          <w:rFonts w:asciiTheme="minorHAnsi" w:hAnsiTheme="minorHAnsi"/>
          <w:b/>
        </w:rPr>
        <w:t xml:space="preserve">All projects use straight line depreciation. </w:t>
      </w:r>
      <w:bookmarkEnd w:id="0"/>
    </w:p>
    <w:sectPr w:rsidR="00F051CF" w:rsidRPr="00234E70" w:rsidSect="00F051C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1F50"/>
    <w:multiLevelType w:val="hybridMultilevel"/>
    <w:tmpl w:val="502C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CF"/>
    <w:rsid w:val="00234E70"/>
    <w:rsid w:val="00501F2A"/>
    <w:rsid w:val="00F0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AA4AA-3921-4BAF-9B39-D62B429E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CF"/>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C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Christy L.</dc:creator>
  <cp:keywords/>
  <dc:description/>
  <cp:lastModifiedBy>Chauvin, Christy L.</cp:lastModifiedBy>
  <cp:revision>2</cp:revision>
  <dcterms:created xsi:type="dcterms:W3CDTF">2016-01-23T17:23:00Z</dcterms:created>
  <dcterms:modified xsi:type="dcterms:W3CDTF">2016-01-23T17:25:00Z</dcterms:modified>
</cp:coreProperties>
</file>