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B18" w:rsidRPr="00B34B18" w:rsidRDefault="00B34B18" w:rsidP="00B34B18">
      <w:pPr>
        <w:pStyle w:val="dropcapcontainer"/>
        <w:jc w:val="both"/>
        <w:rPr>
          <w:rFonts w:asciiTheme="minorHAnsi" w:hAnsiTheme="minorHAnsi"/>
          <w:b/>
          <w:bCs/>
        </w:rPr>
      </w:pPr>
      <w:r w:rsidRPr="00B34B18">
        <w:rPr>
          <w:rFonts w:asciiTheme="minorHAnsi" w:hAnsiTheme="minorHAnsi"/>
          <w:b/>
          <w:bCs/>
        </w:rPr>
        <w:t>Financial Statement Analysis</w:t>
      </w:r>
    </w:p>
    <w:p w:rsidR="00AA35B0" w:rsidRPr="00B34B18" w:rsidRDefault="00AA35B0" w:rsidP="00B34B18">
      <w:pPr>
        <w:pStyle w:val="dropcapcontainer"/>
        <w:jc w:val="both"/>
        <w:rPr>
          <w:rFonts w:asciiTheme="minorHAnsi" w:hAnsiTheme="minorHAnsi"/>
        </w:rPr>
      </w:pPr>
      <w:r w:rsidRPr="00B34B18">
        <w:rPr>
          <w:rFonts w:asciiTheme="minorHAnsi" w:hAnsiTheme="minorHAnsi"/>
          <w:b/>
          <w:bCs/>
        </w:rPr>
        <w:t>All financial statements are</w:t>
      </w:r>
      <w:r w:rsidRPr="00B34B18">
        <w:rPr>
          <w:rFonts w:asciiTheme="minorHAnsi" w:hAnsiTheme="minorHAnsi"/>
        </w:rPr>
        <w:t xml:space="preserve"> historical documents. They summarize what </w:t>
      </w:r>
      <w:r w:rsidRPr="00B34B18">
        <w:rPr>
          <w:rFonts w:asciiTheme="minorHAnsi" w:hAnsiTheme="minorHAnsi"/>
          <w:i/>
          <w:iCs/>
        </w:rPr>
        <w:t>has happened</w:t>
      </w:r>
      <w:r w:rsidRPr="00B34B18">
        <w:rPr>
          <w:rFonts w:asciiTheme="minorHAnsi" w:hAnsiTheme="minorHAnsi"/>
        </w:rPr>
        <w:t xml:space="preserve"> during a particular period. However, most users of financial statements are concerned with what </w:t>
      </w:r>
      <w:r w:rsidRPr="00B34B18">
        <w:rPr>
          <w:rFonts w:asciiTheme="minorHAnsi" w:hAnsiTheme="minorHAnsi"/>
          <w:i/>
          <w:iCs/>
        </w:rPr>
        <w:t>will happen</w:t>
      </w:r>
      <w:r w:rsidRPr="00B34B18">
        <w:rPr>
          <w:rFonts w:asciiTheme="minorHAnsi" w:hAnsiTheme="minorHAnsi"/>
        </w:rPr>
        <w:t xml:space="preserve"> in the future. </w:t>
      </w:r>
    </w:p>
    <w:p w:rsidR="00AA35B0" w:rsidRPr="00B34B18" w:rsidRDefault="00AA35B0" w:rsidP="00B34B18">
      <w:pPr>
        <w:pStyle w:val="dropcapcontainer"/>
        <w:jc w:val="both"/>
        <w:rPr>
          <w:rFonts w:asciiTheme="minorHAnsi" w:hAnsiTheme="minorHAnsi"/>
        </w:rPr>
      </w:pPr>
      <w:r w:rsidRPr="00B34B18">
        <w:rPr>
          <w:rFonts w:asciiTheme="minorHAnsi" w:hAnsiTheme="minorHAnsi"/>
        </w:rPr>
        <w:t xml:space="preserve">For example, stockholders are concerned with future earnings and dividends and creditors are concerned with the company's future ability to repay its debts. </w:t>
      </w:r>
    </w:p>
    <w:p w:rsidR="00AA35B0" w:rsidRPr="00B34B18" w:rsidRDefault="00AA35B0" w:rsidP="00B34B18">
      <w:pPr>
        <w:pStyle w:val="dropcapcontainer"/>
        <w:jc w:val="both"/>
        <w:rPr>
          <w:rFonts w:asciiTheme="minorHAnsi" w:hAnsiTheme="minorHAnsi"/>
        </w:rPr>
      </w:pPr>
      <w:r w:rsidRPr="00B34B18">
        <w:rPr>
          <w:rFonts w:asciiTheme="minorHAnsi" w:hAnsiTheme="minorHAnsi"/>
        </w:rPr>
        <w:t xml:space="preserve">While financial statements are historical in nature, they can still provide users with valuable insights. These users rely on </w:t>
      </w:r>
      <w:r w:rsidRPr="00B34B18">
        <w:rPr>
          <w:rFonts w:asciiTheme="minorHAnsi" w:hAnsiTheme="minorHAnsi"/>
          <w:i/>
          <w:iCs/>
        </w:rPr>
        <w:t>financial statement analysis,</w:t>
      </w:r>
      <w:r w:rsidRPr="00B34B18">
        <w:rPr>
          <w:rFonts w:asciiTheme="minorHAnsi" w:hAnsiTheme="minorHAnsi"/>
        </w:rPr>
        <w:t xml:space="preserve"> which involves examining trends in key financial data, comparing financial data across companies, and analyzing financial ratios to assess the financial health and future prospects of a company. </w:t>
      </w:r>
    </w:p>
    <w:p w:rsidR="00AA35B0" w:rsidRPr="00B34B18" w:rsidRDefault="00AA35B0" w:rsidP="00B34B18">
      <w:pPr>
        <w:pStyle w:val="NormalWeb"/>
        <w:jc w:val="both"/>
        <w:rPr>
          <w:rFonts w:asciiTheme="minorHAnsi" w:hAnsiTheme="minorHAnsi"/>
        </w:rPr>
      </w:pPr>
      <w:r w:rsidRPr="00B34B18">
        <w:rPr>
          <w:rFonts w:asciiTheme="minorHAnsi" w:hAnsiTheme="minorHAnsi"/>
        </w:rPr>
        <w:t xml:space="preserve">Managers are also vitally concerned with the financial ratios discussed in this chapter. </w:t>
      </w:r>
    </w:p>
    <w:p w:rsidR="00AA35B0" w:rsidRPr="00B34B18" w:rsidRDefault="00AA35B0" w:rsidP="00B34B18">
      <w:pPr>
        <w:pStyle w:val="NormalWeb"/>
        <w:jc w:val="both"/>
        <w:rPr>
          <w:rFonts w:asciiTheme="minorHAnsi" w:hAnsiTheme="minorHAnsi"/>
        </w:rPr>
      </w:pPr>
      <w:r w:rsidRPr="00B34B18">
        <w:rPr>
          <w:rFonts w:asciiTheme="minorHAnsi" w:hAnsiTheme="minorHAnsi"/>
        </w:rPr>
        <w:t xml:space="preserve">First, the ratios provide indicators of how well the company and its business units are performing. </w:t>
      </w:r>
    </w:p>
    <w:p w:rsidR="00AA35B0" w:rsidRPr="00B34B18" w:rsidRDefault="00AA35B0" w:rsidP="00B34B18">
      <w:pPr>
        <w:pStyle w:val="NormalWeb"/>
        <w:jc w:val="both"/>
        <w:rPr>
          <w:rFonts w:asciiTheme="minorHAnsi" w:hAnsiTheme="minorHAnsi"/>
        </w:rPr>
      </w:pPr>
      <w:r w:rsidRPr="00B34B18">
        <w:rPr>
          <w:rFonts w:asciiTheme="minorHAnsi" w:hAnsiTheme="minorHAnsi"/>
        </w:rPr>
        <w:t xml:space="preserve">The specific ratios selected depend on the company's strategy.  For example, a company that wants to emphasize responsiveness to customers may closely monitor the inventory turnover ratio discussed later in this chapter. </w:t>
      </w:r>
    </w:p>
    <w:p w:rsidR="00AA35B0" w:rsidRPr="00B34B18" w:rsidRDefault="00AA35B0" w:rsidP="00B34B18">
      <w:pPr>
        <w:pStyle w:val="NormalWeb"/>
        <w:jc w:val="both"/>
        <w:rPr>
          <w:rFonts w:asciiTheme="minorHAnsi" w:hAnsiTheme="minorHAnsi"/>
        </w:rPr>
      </w:pPr>
      <w:r w:rsidRPr="00B34B18">
        <w:rPr>
          <w:rFonts w:asciiTheme="minorHAnsi" w:hAnsiTheme="minorHAnsi"/>
        </w:rPr>
        <w:t>Second, because managers must report to stockholders and may want to raise funds from external sources, managers must pay attention to the financial ratios used by external investors.</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An item on a balance sheet or income statement has little meaning by itself. Suppose a company's sales for a year were $250 million. In isolation, that is not particularly useful information. How does that stack up against last year's sales? How do the sales relate to the cost of goods sold? In making these kinds of comparisons, three analytical techniques are widely used: </w:t>
      </w:r>
    </w:p>
    <w:p w:rsidR="00AA35B0" w:rsidRPr="00B34B18" w:rsidRDefault="00AA35B0" w:rsidP="00B34B18">
      <w:pPr>
        <w:numPr>
          <w:ilvl w:val="0"/>
          <w:numId w:val="2"/>
        </w:num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Dollar and percentage changes on statements (</w:t>
      </w:r>
      <w:r w:rsidRPr="00B34B18">
        <w:rPr>
          <w:rFonts w:asciiTheme="minorHAnsi" w:eastAsia="Times New Roman" w:hAnsiTheme="minorHAnsi"/>
          <w:i/>
          <w:iCs/>
          <w:sz w:val="24"/>
          <w:szCs w:val="24"/>
        </w:rPr>
        <w:t>horizontal analysis</w:t>
      </w:r>
      <w:r w:rsidRPr="00B34B18">
        <w:rPr>
          <w:rFonts w:asciiTheme="minorHAnsi" w:eastAsia="Times New Roman" w:hAnsiTheme="minorHAnsi"/>
          <w:sz w:val="24"/>
          <w:szCs w:val="24"/>
        </w:rPr>
        <w:t>).</w:t>
      </w:r>
    </w:p>
    <w:p w:rsidR="00AA35B0" w:rsidRPr="00B34B18" w:rsidRDefault="00AA35B0" w:rsidP="00B34B18">
      <w:pPr>
        <w:numPr>
          <w:ilvl w:val="0"/>
          <w:numId w:val="2"/>
        </w:num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Common-size statements (</w:t>
      </w:r>
      <w:r w:rsidRPr="00B34B18">
        <w:rPr>
          <w:rFonts w:asciiTheme="minorHAnsi" w:eastAsia="Times New Roman" w:hAnsiTheme="minorHAnsi"/>
          <w:i/>
          <w:iCs/>
          <w:sz w:val="24"/>
          <w:szCs w:val="24"/>
        </w:rPr>
        <w:t>vertical analysis</w:t>
      </w:r>
      <w:r w:rsidRPr="00B34B18">
        <w:rPr>
          <w:rFonts w:asciiTheme="minorHAnsi" w:eastAsia="Times New Roman" w:hAnsiTheme="minorHAnsi"/>
          <w:sz w:val="24"/>
          <w:szCs w:val="24"/>
        </w:rPr>
        <w:t>).</w:t>
      </w:r>
    </w:p>
    <w:p w:rsidR="00AA35B0" w:rsidRPr="00B34B18" w:rsidRDefault="00AA35B0" w:rsidP="00B34B18">
      <w:pPr>
        <w:numPr>
          <w:ilvl w:val="0"/>
          <w:numId w:val="2"/>
        </w:num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Ratios.</w:t>
      </w:r>
    </w:p>
    <w:p w:rsidR="00C36FEF" w:rsidRPr="00B34B18" w:rsidRDefault="00C36FEF" w:rsidP="00B34B18">
      <w:pPr>
        <w:jc w:val="both"/>
        <w:rPr>
          <w:rFonts w:asciiTheme="minorHAnsi" w:hAnsiTheme="minorHAnsi"/>
          <w:sz w:val="24"/>
          <w:szCs w:val="24"/>
        </w:rPr>
      </w:pPr>
    </w:p>
    <w:p w:rsidR="00AA35B0" w:rsidRPr="00B34B18" w:rsidRDefault="00AA35B0" w:rsidP="00B34B18">
      <w:pPr>
        <w:jc w:val="both"/>
        <w:rPr>
          <w:rFonts w:asciiTheme="minorHAnsi" w:eastAsia="Times New Roman" w:hAnsiTheme="minorHAnsi"/>
          <w:sz w:val="24"/>
          <w:szCs w:val="24"/>
        </w:rPr>
      </w:pPr>
      <w:r w:rsidRPr="00B34B18">
        <w:rPr>
          <w:rFonts w:asciiTheme="minorHAnsi" w:eastAsia="Times New Roman" w:hAnsiTheme="minorHAnsi"/>
          <w:sz w:val="24"/>
          <w:szCs w:val="24"/>
        </w:rPr>
        <w:br w:type="page"/>
      </w:r>
    </w:p>
    <w:p w:rsidR="00AA35B0" w:rsidRPr="00B34B18" w:rsidRDefault="00AA35B0"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lastRenderedPageBreak/>
        <w:t xml:space="preserve">STATEMENTS IN COMPARATIVE AND COMMON-SIZE FORM </w:t>
      </w:r>
    </w:p>
    <w:p w:rsidR="00AA35B0" w:rsidRPr="00B34B18" w:rsidRDefault="00AA35B0" w:rsidP="00B34B18">
      <w:pPr>
        <w:spacing w:after="0" w:line="240" w:lineRule="auto"/>
        <w:jc w:val="both"/>
        <w:rPr>
          <w:rFonts w:asciiTheme="minorHAnsi" w:eastAsia="Times New Roman" w:hAnsiTheme="minorHAnsi"/>
          <w:sz w:val="24"/>
          <w:szCs w:val="24"/>
        </w:rPr>
      </w:pPr>
    </w:p>
    <w:p w:rsidR="00AA35B0" w:rsidRPr="00B34B18" w:rsidRDefault="00AA35B0"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t xml:space="preserve">Dollar and Percentage Changes on Statements </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Horizontal analysis (also known as trend analysis) involves analyzing financial data over time, such as computing year-to-year dollar and percentage changes within a set of financial statements.</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The dollar changes highlight the changes that are the most important economically; the percentage changes highlight the changes that are the most unusual.</w:t>
      </w: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6791B1C7" wp14:editId="5B5E141B">
            <wp:extent cx="4015740" cy="5821680"/>
            <wp:effectExtent l="0" t="0" r="3810" b="7620"/>
            <wp:docPr id="9" name="Picture 9" descr="http://textflow.mcgraw-hill.com/figures/0077429524/exhibit_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009c" descr="http://textflow.mcgraw-hill.com/figures/0077429524/exhibit_13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5740" cy="5821680"/>
                    </a:xfrm>
                    <a:prstGeom prst="rect">
                      <a:avLst/>
                    </a:prstGeom>
                    <a:noFill/>
                    <a:ln>
                      <a:noFill/>
                    </a:ln>
                  </pic:spPr>
                </pic:pic>
              </a:graphicData>
            </a:graphic>
          </wp:inline>
        </w:drawing>
      </w: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w:t>
      </w: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lastRenderedPageBreak/>
        <w:drawing>
          <wp:inline distT="0" distB="0" distL="0" distR="0" wp14:anchorId="43363077" wp14:editId="10EE2B36">
            <wp:extent cx="3977640" cy="4312920"/>
            <wp:effectExtent l="0" t="0" r="3810" b="0"/>
            <wp:docPr id="8" name="Picture 8" descr="http://textflow.mcgraw-hill.com/figures/0077429524/exhibit_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170c" descr="http://textflow.mcgraw-hill.com/figures/0077429524/exhibit_13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7640" cy="4312920"/>
                    </a:xfrm>
                    <a:prstGeom prst="rect">
                      <a:avLst/>
                    </a:prstGeom>
                    <a:noFill/>
                    <a:ln>
                      <a:noFill/>
                    </a:ln>
                  </pic:spPr>
                </pic:pic>
              </a:graphicData>
            </a:graphic>
          </wp:inline>
        </w:drawing>
      </w:r>
    </w:p>
    <w:p w:rsidR="00AA35B0" w:rsidRPr="00B34B18" w:rsidRDefault="00AA35B0" w:rsidP="0009511C">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Horizontal analysis can be even more useful when data from a number of years are used to compute </w:t>
      </w:r>
      <w:r w:rsidRPr="00B34B18">
        <w:rPr>
          <w:rFonts w:asciiTheme="minorHAnsi" w:eastAsia="Times New Roman" w:hAnsiTheme="minorHAnsi"/>
          <w:i/>
          <w:iCs/>
          <w:sz w:val="24"/>
          <w:szCs w:val="24"/>
        </w:rPr>
        <w:t>trend percentages.</w:t>
      </w:r>
      <w:r w:rsidRPr="00B34B18">
        <w:rPr>
          <w:rFonts w:asciiTheme="minorHAnsi" w:eastAsia="Times New Roman" w:hAnsiTheme="minorHAnsi"/>
          <w:sz w:val="24"/>
          <w:szCs w:val="24"/>
        </w:rPr>
        <w:t xml:space="preserve"> To compute trend percentages</w:t>
      </w:r>
      <w:r w:rsidRPr="00B34B18">
        <w:rPr>
          <w:rFonts w:asciiTheme="minorHAnsi" w:eastAsia="Times New Roman" w:hAnsiTheme="minorHAnsi"/>
          <w:b/>
          <w:bCs/>
          <w:sz w:val="24"/>
          <w:szCs w:val="24"/>
        </w:rPr>
        <w:t>,</w:t>
      </w:r>
      <w:r w:rsidRPr="00B34B18">
        <w:rPr>
          <w:rFonts w:asciiTheme="minorHAnsi" w:eastAsia="Times New Roman" w:hAnsiTheme="minorHAnsi"/>
          <w:sz w:val="24"/>
          <w:szCs w:val="24"/>
        </w:rPr>
        <w:t xml:space="preserve"> a base year is selected and the data for all years are stated as a percentage of that base year. </w:t>
      </w:r>
    </w:p>
    <w:p w:rsidR="00AA35B0" w:rsidRPr="00B34B18" w:rsidRDefault="00AA35B0" w:rsidP="00B34B18">
      <w:pPr>
        <w:spacing w:after="0" w:line="240" w:lineRule="auto"/>
        <w:jc w:val="both"/>
        <w:rPr>
          <w:rFonts w:asciiTheme="minorHAnsi" w:eastAsia="Times New Roman" w:hAnsiTheme="minorHAnsi"/>
          <w:sz w:val="24"/>
          <w:szCs w:val="24"/>
        </w:rPr>
      </w:pPr>
    </w:p>
    <w:p w:rsidR="00AA35B0" w:rsidRPr="00B34B18" w:rsidRDefault="00AA35B0" w:rsidP="00B34B18">
      <w:pPr>
        <w:jc w:val="both"/>
        <w:rPr>
          <w:rFonts w:asciiTheme="minorHAnsi" w:eastAsia="Times New Roman" w:hAnsiTheme="minorHAnsi"/>
          <w:sz w:val="24"/>
          <w:szCs w:val="24"/>
        </w:rPr>
      </w:pPr>
      <w:r w:rsidRPr="00B34B18">
        <w:rPr>
          <w:rFonts w:asciiTheme="minorHAnsi" w:eastAsia="Times New Roman" w:hAnsiTheme="minorHAnsi"/>
          <w:sz w:val="24"/>
          <w:szCs w:val="24"/>
        </w:rPr>
        <w:br w:type="page"/>
      </w:r>
    </w:p>
    <w:p w:rsidR="00AA35B0" w:rsidRPr="00B34B18" w:rsidRDefault="00AA35B0"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lastRenderedPageBreak/>
        <w:t xml:space="preserve">Common-Size Statements </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Horizontal analysis, which was discussed in the previous section, examines changes in financial statement accounts over time. </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Vertical analysis focuses on the relations among financial statement accounts at a given point in time. A common-size financial statement is a vertical analysis in which each financial statement account is expressed as a percentage. </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In income statements, all items are usually expressed as a percentage of sales. In balance sheets, all items are usually expressed as a percentage of total assets. </w:t>
      </w: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69924783" wp14:editId="2BCE4A07">
            <wp:extent cx="4015740" cy="5966460"/>
            <wp:effectExtent l="0" t="0" r="3810" b="0"/>
            <wp:docPr id="4" name="Picture 4" descr="http://textflow.mcgraw-hill.com/figures/0077429524/exhibit_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361c" descr="http://textflow.mcgraw-hill.com/figures/0077429524/exhibit_13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5740" cy="5966460"/>
                    </a:xfrm>
                    <a:prstGeom prst="rect">
                      <a:avLst/>
                    </a:prstGeom>
                    <a:noFill/>
                    <a:ln>
                      <a:noFill/>
                    </a:ln>
                  </pic:spPr>
                </pic:pic>
              </a:graphicData>
            </a:graphic>
          </wp:inline>
        </w:drawing>
      </w: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lastRenderedPageBreak/>
        <w:drawing>
          <wp:inline distT="0" distB="0" distL="0" distR="0" wp14:anchorId="23FAB56D" wp14:editId="640EE9FE">
            <wp:extent cx="4053840" cy="3573780"/>
            <wp:effectExtent l="0" t="0" r="3810" b="7620"/>
            <wp:docPr id="3" name="Picture 3" descr="http://textflow.mcgraw-hill.com/figures/0077429524/exhibit_1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521c" descr="http://textflow.mcgraw-hill.com/figures/0077429524/exhibit_13_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3840" cy="3573780"/>
                    </a:xfrm>
                    <a:prstGeom prst="rect">
                      <a:avLst/>
                    </a:prstGeom>
                    <a:noFill/>
                    <a:ln>
                      <a:noFill/>
                    </a:ln>
                  </pic:spPr>
                </pic:pic>
              </a:graphicData>
            </a:graphic>
          </wp:inline>
        </w:drawing>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Placing all assets in common-size form clearly shows the relative importance of the current assets as compared to the noncurrent assets. It also shows that significant changes have taken place in the composition of the current assets over the last year. For example, accounts receivable have increased in relative importance and both cash and inventory have declined in relative importance. Judging from the sharp increase in accounts receivable, the deterioration in the cash balance may be a result of an inability to collect from customers.</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Shifting now to the in</w:t>
      </w:r>
      <w:r w:rsidR="0009511C">
        <w:rPr>
          <w:rFonts w:asciiTheme="minorHAnsi" w:eastAsia="Times New Roman" w:hAnsiTheme="minorHAnsi"/>
          <w:sz w:val="24"/>
          <w:szCs w:val="24"/>
        </w:rPr>
        <w:t xml:space="preserve">come statement, </w:t>
      </w:r>
      <w:r w:rsidRPr="00B34B18">
        <w:rPr>
          <w:rFonts w:asciiTheme="minorHAnsi" w:eastAsia="Times New Roman" w:hAnsiTheme="minorHAnsi"/>
          <w:sz w:val="24"/>
          <w:szCs w:val="24"/>
        </w:rPr>
        <w:t xml:space="preserve">the cost of goods sold as a percentage of sales increased from 65.6% last year to 69.2% this year. Or looking at this from a different viewpoint, the </w:t>
      </w:r>
      <w:r w:rsidRPr="00B34B18">
        <w:rPr>
          <w:rFonts w:asciiTheme="minorHAnsi" w:eastAsia="Times New Roman" w:hAnsiTheme="minorHAnsi"/>
          <w:i/>
          <w:iCs/>
          <w:sz w:val="24"/>
          <w:szCs w:val="24"/>
        </w:rPr>
        <w:t>gross margin percentage</w:t>
      </w:r>
      <w:r w:rsidRPr="00B34B18">
        <w:rPr>
          <w:rFonts w:asciiTheme="minorHAnsi" w:eastAsia="Times New Roman" w:hAnsiTheme="minorHAnsi"/>
          <w:sz w:val="24"/>
          <w:szCs w:val="24"/>
        </w:rPr>
        <w:t xml:space="preserve"> declined from 34.4% last year to 30.8% this year. </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Managers and investment analysts often pay close attention to this measure of profitability. The </w:t>
      </w:r>
      <w:r w:rsidRPr="00B34B18">
        <w:rPr>
          <w:rFonts w:asciiTheme="minorHAnsi" w:eastAsia="Times New Roman" w:hAnsiTheme="minorHAnsi"/>
          <w:b/>
          <w:bCs/>
          <w:sz w:val="24"/>
          <w:szCs w:val="24"/>
        </w:rPr>
        <w:t>gross margin percentage</w:t>
      </w:r>
      <w:r w:rsidRPr="00B34B18">
        <w:rPr>
          <w:rFonts w:asciiTheme="minorHAnsi" w:eastAsia="Times New Roman" w:hAnsiTheme="minorHAnsi"/>
          <w:sz w:val="24"/>
          <w:szCs w:val="24"/>
        </w:rPr>
        <w:t xml:space="preserve"> is computed as follows: </w:t>
      </w: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2B33957C" wp14:editId="74FA7236">
            <wp:extent cx="4229100" cy="403860"/>
            <wp:effectExtent l="0" t="0" r="0" b="0"/>
            <wp:docPr id="2" name="Picture 2" descr="http://textflow.mcgraw-hill.com/figures/0077429524/bre25419_eq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599" descr="http://textflow.mcgraw-hill.com/figures/0077429524/bre25419_eq13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403860"/>
                    </a:xfrm>
                    <a:prstGeom prst="rect">
                      <a:avLst/>
                    </a:prstGeom>
                    <a:noFill/>
                    <a:ln>
                      <a:noFill/>
                    </a:ln>
                  </pic:spPr>
                </pic:pic>
              </a:graphicData>
            </a:graphic>
          </wp:inline>
        </w:drawing>
      </w:r>
    </w:p>
    <w:p w:rsidR="00AA35B0" w:rsidRPr="00B34B18" w:rsidRDefault="00AA35B0" w:rsidP="00B34B18">
      <w:pPr>
        <w:spacing w:after="0" w:line="240" w:lineRule="auto"/>
        <w:jc w:val="both"/>
        <w:rPr>
          <w:rFonts w:asciiTheme="minorHAnsi" w:eastAsia="Times New Roman" w:hAnsiTheme="minorHAnsi"/>
          <w:sz w:val="24"/>
          <w:szCs w:val="24"/>
        </w:rPr>
      </w:pP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gross margin percentage should be more stable for retailing companies than for other companies because the cost of goods sold in retailing excludes fixed costs. </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Common-size statements are particularly useful when comparing the performance of different companies. </w:t>
      </w:r>
    </w:p>
    <w:p w:rsidR="00AA35B0" w:rsidRPr="00B34B18" w:rsidRDefault="00AA35B0" w:rsidP="00B34B18">
      <w:pPr>
        <w:jc w:val="both"/>
        <w:rPr>
          <w:rFonts w:asciiTheme="minorHAnsi" w:eastAsia="Times New Roman" w:hAnsiTheme="minorHAnsi"/>
          <w:sz w:val="24"/>
          <w:szCs w:val="24"/>
        </w:rPr>
      </w:pPr>
      <w:r w:rsidRPr="00B34B18">
        <w:rPr>
          <w:rFonts w:asciiTheme="minorHAnsi" w:eastAsia="Times New Roman" w:hAnsiTheme="minorHAnsi"/>
          <w:sz w:val="24"/>
          <w:szCs w:val="24"/>
        </w:rPr>
        <w:br w:type="page"/>
      </w:r>
    </w:p>
    <w:p w:rsidR="00AA35B0" w:rsidRPr="00B34B18" w:rsidRDefault="00AA35B0"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lastRenderedPageBreak/>
        <w:t xml:space="preserve">RATIO ANALYSIS—THE COMMON STOCKHOLDER </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Common stockholders use financial ratios related to net income, dividends, and stockholders' equity to assess a company's financial performance. This section describes seven of those ratios. </w:t>
      </w:r>
      <w:r w:rsidRPr="00B34B18">
        <w:rPr>
          <w:rFonts w:asciiTheme="minorHAnsi" w:eastAsia="Times New Roman" w:hAnsiTheme="minorHAnsi"/>
          <w:i/>
          <w:iCs/>
          <w:sz w:val="24"/>
          <w:szCs w:val="24"/>
        </w:rPr>
        <w:t>All calculations will be performed for this year.</w:t>
      </w:r>
    </w:p>
    <w:p w:rsidR="00AA35B0" w:rsidRPr="00B34B18" w:rsidRDefault="00AA35B0"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t xml:space="preserve">Earnings per Share </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An investor buys a stock in the hope of realizing a return in the form of either dividends or future increases in the value of the stock. Because earnings form the basis for dividend payments and future increases in the value of shares, investors are interested in a company's </w:t>
      </w:r>
      <w:r w:rsidRPr="00B34B18">
        <w:rPr>
          <w:rFonts w:asciiTheme="minorHAnsi" w:eastAsia="Times New Roman" w:hAnsiTheme="minorHAnsi"/>
          <w:i/>
          <w:iCs/>
          <w:sz w:val="24"/>
          <w:szCs w:val="24"/>
        </w:rPr>
        <w:t>earnings per share.</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b/>
          <w:bCs/>
          <w:sz w:val="24"/>
          <w:szCs w:val="24"/>
        </w:rPr>
        <w:t>Earnings per share</w:t>
      </w:r>
      <w:r w:rsidRPr="00B34B18">
        <w:rPr>
          <w:rFonts w:asciiTheme="minorHAnsi" w:eastAsia="Times New Roman" w:hAnsiTheme="minorHAnsi"/>
          <w:sz w:val="24"/>
          <w:szCs w:val="24"/>
        </w:rPr>
        <w:t xml:space="preserve"> is computed by dividing net income minus dividends paid to preferred stockholders is the net income available for common stockholders by the average number of common shares outstanding during the year. </w:t>
      </w: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46FC7C5A" wp14:editId="5F3B508D">
            <wp:extent cx="4640580" cy="449580"/>
            <wp:effectExtent l="0" t="0" r="7620" b="7620"/>
            <wp:docPr id="25" name="Picture 25" descr="http://textflow.mcgraw-hill.com/figures/0077429524/bre25419_eq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619" descr="http://textflow.mcgraw-hill.com/figures/0077429524/bre25419_eq13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0580" cy="449580"/>
                    </a:xfrm>
                    <a:prstGeom prst="rect">
                      <a:avLst/>
                    </a:prstGeom>
                    <a:noFill/>
                    <a:ln>
                      <a:noFill/>
                    </a:ln>
                  </pic:spPr>
                </pic:pic>
              </a:graphicData>
            </a:graphic>
          </wp:inline>
        </w:drawing>
      </w:r>
    </w:p>
    <w:p w:rsidR="00AA35B0" w:rsidRPr="00B34B18" w:rsidRDefault="00AA35B0" w:rsidP="00B34B18">
      <w:pPr>
        <w:spacing w:after="0" w:line="240" w:lineRule="auto"/>
        <w:jc w:val="both"/>
        <w:rPr>
          <w:rFonts w:asciiTheme="minorHAnsi" w:eastAsia="Times New Roman" w:hAnsiTheme="minorHAnsi"/>
          <w:sz w:val="24"/>
          <w:szCs w:val="24"/>
        </w:rPr>
      </w:pP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018E127C" wp14:editId="4267C9AE">
            <wp:extent cx="4213860" cy="678180"/>
            <wp:effectExtent l="0" t="0" r="0" b="7620"/>
            <wp:docPr id="24" name="Picture 24" descr="http://textflow.mcgraw-hill.com/figures/0077429524/bre25419_eq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623" descr="http://textflow.mcgraw-hill.com/figures/0077429524/bre25419_eq13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3860" cy="678180"/>
                    </a:xfrm>
                    <a:prstGeom prst="rect">
                      <a:avLst/>
                    </a:prstGeom>
                    <a:noFill/>
                    <a:ln>
                      <a:noFill/>
                    </a:ln>
                  </pic:spPr>
                </pic:pic>
              </a:graphicData>
            </a:graphic>
          </wp:inline>
        </w:drawing>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The number of common shares outstanding is calculated by taking the dollar amount of common stock shown in the balance sheet and dividing it by the common stock's par value per share.</w:t>
      </w:r>
    </w:p>
    <w:p w:rsidR="00AA35B0" w:rsidRPr="00B34B18" w:rsidRDefault="00AA35B0" w:rsidP="00B34B18">
      <w:pPr>
        <w:spacing w:before="100" w:beforeAutospacing="1" w:after="100" w:afterAutospacing="1"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t>Price Earnings Ratio</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w:t>
      </w:r>
      <w:r w:rsidRPr="00B34B18">
        <w:rPr>
          <w:rFonts w:asciiTheme="minorHAnsi" w:eastAsia="Times New Roman" w:hAnsiTheme="minorHAnsi"/>
          <w:b/>
          <w:bCs/>
          <w:sz w:val="24"/>
          <w:szCs w:val="24"/>
        </w:rPr>
        <w:t>price-earnings ratio</w:t>
      </w:r>
      <w:r w:rsidRPr="00B34B18">
        <w:rPr>
          <w:rFonts w:asciiTheme="minorHAnsi" w:eastAsia="Times New Roman" w:hAnsiTheme="minorHAnsi"/>
          <w:sz w:val="24"/>
          <w:szCs w:val="24"/>
        </w:rPr>
        <w:t xml:space="preserve"> expresses the relationship between a stock's market price per share and its earnings per share. If we assume that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stock has a market price of $40 per share at the end of this year, then its price-earnings ratio would be computed as follows: </w:t>
      </w:r>
    </w:p>
    <w:p w:rsidR="00AA35B0" w:rsidRPr="00B34B18" w:rsidRDefault="00AA35B0" w:rsidP="00B34B18">
      <w:pPr>
        <w:spacing w:after="0" w:line="240" w:lineRule="auto"/>
        <w:jc w:val="both"/>
        <w:rPr>
          <w:rFonts w:asciiTheme="minorHAnsi" w:eastAsia="Times New Roman" w:hAnsiTheme="minorHAnsi"/>
          <w:sz w:val="24"/>
          <w:szCs w:val="24"/>
        </w:rPr>
      </w:pP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22B0FF9E" wp14:editId="7B4B0272">
            <wp:extent cx="4899660" cy="861060"/>
            <wp:effectExtent l="0" t="0" r="0" b="0"/>
            <wp:docPr id="26" name="Picture 26" descr="http://textflow.mcgraw-hill.com/figures/0077429524/bre25419_eq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641" descr="http://textflow.mcgraw-hill.com/figures/0077429524/bre25419_eq13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9660" cy="861060"/>
                    </a:xfrm>
                    <a:prstGeom prst="rect">
                      <a:avLst/>
                    </a:prstGeom>
                    <a:noFill/>
                    <a:ln>
                      <a:noFill/>
                    </a:ln>
                  </pic:spPr>
                </pic:pic>
              </a:graphicData>
            </a:graphic>
          </wp:inline>
        </w:drawing>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A high price-earnings ratio means that investors are willing to pay a premium for the company's stock—presumably because the company is expected to have higher than average future earnings growth. Conversely, if investors believe a company's future earnings growth prospects are </w:t>
      </w:r>
      <w:proofErr w:type="gramStart"/>
      <w:r w:rsidRPr="00B34B18">
        <w:rPr>
          <w:rFonts w:asciiTheme="minorHAnsi" w:eastAsia="Times New Roman" w:hAnsiTheme="minorHAnsi"/>
          <w:sz w:val="24"/>
          <w:szCs w:val="24"/>
        </w:rPr>
        <w:t>limited,</w:t>
      </w:r>
      <w:proofErr w:type="gramEnd"/>
      <w:r w:rsidRPr="00B34B18">
        <w:rPr>
          <w:rFonts w:asciiTheme="minorHAnsi" w:eastAsia="Times New Roman" w:hAnsiTheme="minorHAnsi"/>
          <w:sz w:val="24"/>
          <w:szCs w:val="24"/>
        </w:rPr>
        <w:t xml:space="preserve"> the company's price-earnings ratio would be relatively low. </w:t>
      </w:r>
    </w:p>
    <w:p w:rsidR="003A3F4E" w:rsidRPr="00B34B18" w:rsidRDefault="003A3F4E" w:rsidP="00B34B18">
      <w:pPr>
        <w:spacing w:before="100" w:beforeAutospacing="1" w:after="100" w:afterAutospacing="1"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lastRenderedPageBreak/>
        <w:t>Return on Total Assets</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w:t>
      </w:r>
      <w:r w:rsidRPr="00B34B18">
        <w:rPr>
          <w:rFonts w:asciiTheme="minorHAnsi" w:eastAsia="Times New Roman" w:hAnsiTheme="minorHAnsi"/>
          <w:b/>
          <w:bCs/>
          <w:sz w:val="24"/>
          <w:szCs w:val="24"/>
        </w:rPr>
        <w:t>return on total assets</w:t>
      </w:r>
      <w:r w:rsidRPr="00B34B18">
        <w:rPr>
          <w:rFonts w:asciiTheme="minorHAnsi" w:eastAsia="Times New Roman" w:hAnsiTheme="minorHAnsi"/>
          <w:sz w:val="24"/>
          <w:szCs w:val="24"/>
        </w:rPr>
        <w:t xml:space="preserve"> is a measure of operating performance that is defined as follows: </w:t>
      </w: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07A9DC82" wp14:editId="1A7D1BE7">
            <wp:extent cx="5166360" cy="502920"/>
            <wp:effectExtent l="0" t="0" r="0" b="0"/>
            <wp:docPr id="17" name="Picture 17" descr="http://textflow.mcgraw-hill.com/figures/0077429524/bre25419_eq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674" descr="http://textflow.mcgraw-hill.com/figures/0077429524/bre25419_eq13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6360" cy="502920"/>
                    </a:xfrm>
                    <a:prstGeom prst="rect">
                      <a:avLst/>
                    </a:prstGeom>
                    <a:noFill/>
                    <a:ln>
                      <a:noFill/>
                    </a:ln>
                  </pic:spPr>
                </pic:pic>
              </a:graphicData>
            </a:graphic>
          </wp:inline>
        </w:drawing>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Interest expense is added back to net income to show what earnings would have been if the company had no debt. Notice that the interest expense is placed on an after-tax basis by multiplying it by the factor (1 − Tax rate).</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return on total assets for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is computed as follows </w:t>
      </w: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4CA43AFE" wp14:editId="53780674">
            <wp:extent cx="4259580" cy="350520"/>
            <wp:effectExtent l="0" t="0" r="7620" b="0"/>
            <wp:docPr id="16" name="Picture 16" descr="http://textflow.mcgraw-hill.com/figures/0077429524/bre25419_eq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678" descr="http://textflow.mcgraw-hill.com/figures/0077429524/bre25419_eq13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9580" cy="350520"/>
                    </a:xfrm>
                    <a:prstGeom prst="rect">
                      <a:avLst/>
                    </a:prstGeom>
                    <a:noFill/>
                    <a:ln>
                      <a:noFill/>
                    </a:ln>
                  </pic:spPr>
                </pic:pic>
              </a:graphicData>
            </a:graphic>
          </wp:inline>
        </w:drawing>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has earned a return of 7.3% on average total assets employed over the last year.</w:t>
      </w:r>
    </w:p>
    <w:p w:rsidR="00AA35B0" w:rsidRPr="00B34B18" w:rsidRDefault="00AA35B0"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t xml:space="preserve">Return on Common Stockholders' Equity </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w:t>
      </w:r>
      <w:r w:rsidRPr="00B34B18">
        <w:rPr>
          <w:rFonts w:asciiTheme="minorHAnsi" w:eastAsia="Times New Roman" w:hAnsiTheme="minorHAnsi"/>
          <w:b/>
          <w:bCs/>
          <w:sz w:val="24"/>
          <w:szCs w:val="24"/>
        </w:rPr>
        <w:t>return on common stockholders' equity</w:t>
      </w:r>
      <w:r w:rsidRPr="00B34B18">
        <w:rPr>
          <w:rFonts w:asciiTheme="minorHAnsi" w:eastAsia="Times New Roman" w:hAnsiTheme="minorHAnsi"/>
          <w:sz w:val="24"/>
          <w:szCs w:val="24"/>
        </w:rPr>
        <w:t xml:space="preserve"> is based on the book value of common stockholders' equity. It is computed as follows: </w:t>
      </w: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3E9C645C" wp14:editId="10C2FD8F">
            <wp:extent cx="5166360" cy="502920"/>
            <wp:effectExtent l="0" t="0" r="0" b="0"/>
            <wp:docPr id="15" name="Picture 15" descr="http://textflow.mcgraw-hill.com/figures/0077429524/bre25419_eq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684" descr="http://textflow.mcgraw-hill.com/figures/0077429524/bre25419_eq13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6360" cy="502920"/>
                    </a:xfrm>
                    <a:prstGeom prst="rect">
                      <a:avLst/>
                    </a:prstGeom>
                    <a:noFill/>
                    <a:ln>
                      <a:noFill/>
                    </a:ln>
                  </pic:spPr>
                </pic:pic>
              </a:graphicData>
            </a:graphic>
          </wp:inline>
        </w:drawing>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proofErr w:type="gramStart"/>
      <w:r w:rsidRPr="00B34B18">
        <w:rPr>
          <w:rFonts w:asciiTheme="minorHAnsi" w:eastAsia="Times New Roman" w:hAnsiTheme="minorHAnsi"/>
          <w:sz w:val="24"/>
          <w:szCs w:val="24"/>
        </w:rPr>
        <w:t>where</w:t>
      </w:r>
      <w:proofErr w:type="gramEnd"/>
      <w:r w:rsidRPr="00B34B18">
        <w:rPr>
          <w:rFonts w:asciiTheme="minorHAnsi" w:eastAsia="Times New Roman" w:hAnsiTheme="minorHAnsi"/>
          <w:sz w:val="24"/>
          <w:szCs w:val="24"/>
        </w:rPr>
        <w:t xml:space="preserve"> </w:t>
      </w:r>
    </w:p>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23860C26" wp14:editId="688CE64B">
            <wp:extent cx="5151120" cy="495300"/>
            <wp:effectExtent l="0" t="0" r="0" b="0"/>
            <wp:docPr id="14" name="Picture 14" descr="http://textflow.mcgraw-hill.com/figures/0077429524/bre25419_eq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686" descr="http://textflow.mcgraw-hill.com/figures/0077429524/bre25419_eq13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120" cy="495300"/>
                    </a:xfrm>
                    <a:prstGeom prst="rect">
                      <a:avLst/>
                    </a:prstGeom>
                    <a:noFill/>
                    <a:ln>
                      <a:noFill/>
                    </a:ln>
                  </pic:spPr>
                </pic:pic>
              </a:graphicData>
            </a:graphic>
          </wp:inline>
        </w:drawing>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For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the return on common stockholders' equity is computed as follows: </w:t>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006BB8F2" wp14:editId="3FA2CC65">
            <wp:extent cx="4556760" cy="609600"/>
            <wp:effectExtent l="0" t="0" r="0" b="0"/>
            <wp:docPr id="13" name="Picture 13" descr="http://textflow.mcgraw-hill.com/figures/0077429524/bre25419_eq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689" descr="http://textflow.mcgraw-hill.com/figures/0077429524/bre25419_eq13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6760" cy="609600"/>
                    </a:xfrm>
                    <a:prstGeom prst="rect">
                      <a:avLst/>
                    </a:prstGeom>
                    <a:noFill/>
                    <a:ln>
                      <a:noFill/>
                    </a:ln>
                  </pic:spPr>
                </pic:pic>
              </a:graphicData>
            </a:graphic>
          </wp:inline>
        </w:drawing>
      </w:r>
    </w:p>
    <w:p w:rsidR="003A3F4E"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6388062C" wp14:editId="7461B639">
            <wp:extent cx="4701540" cy="525780"/>
            <wp:effectExtent l="0" t="0" r="3810" b="7620"/>
            <wp:docPr id="12" name="Picture 12" descr="http://textflow.mcgraw-hill.com/figures/0077429524/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689a" descr="http://textflow.mcgraw-hill.com/figures/0077429524/ne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1540" cy="525780"/>
                    </a:xfrm>
                    <a:prstGeom prst="rect">
                      <a:avLst/>
                    </a:prstGeom>
                    <a:noFill/>
                    <a:ln>
                      <a:noFill/>
                    </a:ln>
                  </pic:spPr>
                </pic:pic>
              </a:graphicData>
            </a:graphic>
          </wp:inline>
        </w:drawing>
      </w:r>
    </w:p>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Compare the return on common stockholders' equity above (11.3%) with the return on total assets computed in the preceding section (7.3%). Why is the return on common stockholders' equity so much higher? The answer lies in </w:t>
      </w:r>
      <w:r w:rsidRPr="00B34B18">
        <w:rPr>
          <w:rFonts w:asciiTheme="minorHAnsi" w:eastAsia="Times New Roman" w:hAnsiTheme="minorHAnsi"/>
          <w:i/>
          <w:iCs/>
          <w:sz w:val="24"/>
          <w:szCs w:val="24"/>
        </w:rPr>
        <w:t>financial leverage.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8"/>
        <w:gridCol w:w="130"/>
      </w:tblGrid>
      <w:tr w:rsidR="00AA35B0" w:rsidRPr="00B34B18" w:rsidTr="00AA35B0">
        <w:trPr>
          <w:tblCellSpacing w:w="15" w:type="dxa"/>
        </w:trPr>
        <w:tc>
          <w:tcPr>
            <w:tcW w:w="0" w:type="auto"/>
            <w:vAlign w:val="center"/>
            <w:hideMark/>
          </w:tcPr>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lastRenderedPageBreak/>
              <w:t>HELPFUL HINT</w:t>
            </w:r>
          </w:p>
        </w:tc>
        <w:tc>
          <w:tcPr>
            <w:tcW w:w="0" w:type="auto"/>
            <w:vAlign w:val="center"/>
            <w:hideMark/>
          </w:tcPr>
          <w:p w:rsidR="00AA35B0" w:rsidRPr="00B34B18" w:rsidRDefault="00AA35B0"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w:t>
            </w:r>
          </w:p>
        </w:tc>
      </w:tr>
    </w:tbl>
    <w:p w:rsidR="00AA35B0" w:rsidRPr="00B34B18" w:rsidRDefault="00AA35B0"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When the numerator of a financial ratio contains an amount from the income statement and the denominator contains an amount derived from the balance sheet, the denominator must be expressed as an average. This averaging process is done because the income statement summarizes performance for a period of time, whereas the balance sheet reflects a company's financial position at a point in time. The average for a balance sheet account is typically computed by taking the account's beginning balance plus its ending balance and dividing this sum by two.</w:t>
      </w:r>
    </w:p>
    <w:p w:rsidR="003A3F4E" w:rsidRPr="00B34B18" w:rsidRDefault="003A3F4E" w:rsidP="00B34B18">
      <w:pPr>
        <w:jc w:val="both"/>
        <w:rPr>
          <w:rFonts w:asciiTheme="minorHAnsi" w:eastAsia="Times New Roman" w:hAnsiTheme="minorHAnsi"/>
          <w:sz w:val="24"/>
          <w:szCs w:val="24"/>
        </w:rPr>
      </w:pPr>
      <w:r w:rsidRPr="00B34B18">
        <w:rPr>
          <w:rFonts w:asciiTheme="minorHAnsi" w:eastAsia="Times New Roman" w:hAnsiTheme="minorHAnsi"/>
          <w:sz w:val="24"/>
          <w:szCs w:val="24"/>
        </w:rPr>
        <w:br w:type="page"/>
      </w:r>
    </w:p>
    <w:p w:rsidR="003A3F4E" w:rsidRPr="00B34B18" w:rsidRDefault="003A3F4E"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lastRenderedPageBreak/>
        <w:t xml:space="preserve">RATIO ANALYSIS—THE SHORT-TERM CREDITOR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Short-term creditors, such as suppliers, want to be paid on time. Therefore, they focus on the company's cash flows and on its </w:t>
      </w:r>
      <w:r w:rsidRPr="00B34B18">
        <w:rPr>
          <w:rFonts w:asciiTheme="minorHAnsi" w:eastAsia="Times New Roman" w:hAnsiTheme="minorHAnsi"/>
          <w:i/>
          <w:iCs/>
          <w:sz w:val="24"/>
          <w:szCs w:val="24"/>
        </w:rPr>
        <w:t>working capital</w:t>
      </w:r>
      <w:r w:rsidRPr="00B34B18">
        <w:rPr>
          <w:rFonts w:asciiTheme="minorHAnsi" w:eastAsia="Times New Roman" w:hAnsiTheme="minorHAnsi"/>
          <w:sz w:val="24"/>
          <w:szCs w:val="24"/>
        </w:rPr>
        <w:t xml:space="preserve"> because these are the company's short-term primary sources of cash. </w:t>
      </w:r>
      <w:r w:rsidRPr="00B34B18">
        <w:rPr>
          <w:rFonts w:asciiTheme="minorHAnsi" w:eastAsia="Times New Roman" w:hAnsiTheme="minorHAnsi"/>
          <w:i/>
          <w:iCs/>
          <w:sz w:val="24"/>
          <w:szCs w:val="24"/>
        </w:rPr>
        <w:t>All calculations in this section will be performed for this year.</w:t>
      </w:r>
    </w:p>
    <w:p w:rsidR="003A3F4E" w:rsidRPr="00B34B18" w:rsidRDefault="003A3F4E"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t xml:space="preserve">Working Capital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excess of current assets over current liabilities is known as </w:t>
      </w:r>
      <w:r w:rsidRPr="00B34B18">
        <w:rPr>
          <w:rFonts w:asciiTheme="minorHAnsi" w:eastAsia="Times New Roman" w:hAnsiTheme="minorHAnsi"/>
          <w:b/>
          <w:bCs/>
          <w:sz w:val="24"/>
          <w:szCs w:val="24"/>
        </w:rPr>
        <w:t>working capital</w:t>
      </w:r>
      <w:r w:rsidRPr="00B34B18">
        <w:rPr>
          <w:rFonts w:asciiTheme="minorHAnsi" w:eastAsia="Times New Roman" w:hAnsiTheme="minorHAnsi"/>
          <w:sz w:val="24"/>
          <w:szCs w:val="24"/>
        </w:rPr>
        <w:t xml:space="preserve">.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6398ACA7" wp14:editId="73247DEC">
            <wp:extent cx="5166360" cy="403860"/>
            <wp:effectExtent l="0" t="0" r="0" b="0"/>
            <wp:docPr id="40" name="Picture 40" descr="http://textflow.mcgraw-hill.com/figures/0077429524/bre25419_eq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22" descr="http://textflow.mcgraw-hill.com/figures/0077429524/bre25419_eq13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6360" cy="40386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working capital for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is computed as follows: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59FFBF38" wp14:editId="4357A42E">
            <wp:extent cx="3573780" cy="190500"/>
            <wp:effectExtent l="0" t="0" r="7620" b="0"/>
            <wp:docPr id="39" name="Picture 39" descr="http://textflow.mcgraw-hill.com/figures/0077429524/bre25419_eq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25" descr="http://textflow.mcgraw-hill.com/figures/0077429524/bre25419_eq13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3780" cy="19050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Ample working capital provides some assurance to short-term creditors that they will be paid by the company. However, maintaining large amounts of working capital isn't free.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A large and growing working capital balance may not be a good sign. For example, it could be the result of unwarranted growth in inventories. To put working capital into proper perspective, it should be supplemented with the following four ratios—the current ratio, the acid-test ratio, the accounts receivable turnover, and the inventory turnover—each of which will be discussed in turn.</w:t>
      </w:r>
    </w:p>
    <w:p w:rsidR="003A3F4E" w:rsidRPr="00B34B18" w:rsidRDefault="003A3F4E" w:rsidP="00B34B18">
      <w:pPr>
        <w:jc w:val="both"/>
        <w:rPr>
          <w:rFonts w:asciiTheme="minorHAnsi" w:eastAsia="Times New Roman" w:hAnsiTheme="minorHAnsi"/>
          <w:b/>
          <w:sz w:val="24"/>
          <w:szCs w:val="24"/>
        </w:rPr>
      </w:pPr>
      <w:r w:rsidRPr="00B34B18">
        <w:rPr>
          <w:rFonts w:asciiTheme="minorHAnsi" w:eastAsia="Times New Roman" w:hAnsiTheme="minorHAnsi"/>
          <w:b/>
          <w:sz w:val="24"/>
          <w:szCs w:val="24"/>
        </w:rPr>
        <w:br w:type="page"/>
      </w:r>
    </w:p>
    <w:p w:rsidR="003A3F4E" w:rsidRPr="00B34B18" w:rsidRDefault="003A3F4E"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lastRenderedPageBreak/>
        <w:t xml:space="preserve">Current Ratio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A company's working capital is frequently expressed in ratio form. A company's current assets divided by its current liabilities is known as the </w:t>
      </w:r>
      <w:r w:rsidRPr="00B34B18">
        <w:rPr>
          <w:rFonts w:asciiTheme="minorHAnsi" w:eastAsia="Times New Roman" w:hAnsiTheme="minorHAnsi"/>
          <w:b/>
          <w:bCs/>
          <w:sz w:val="24"/>
          <w:szCs w:val="24"/>
        </w:rPr>
        <w:t>current ratio</w:t>
      </w:r>
      <w:r w:rsidRPr="00B34B18">
        <w:rPr>
          <w:rFonts w:asciiTheme="minorHAnsi" w:eastAsia="Times New Roman" w:hAnsiTheme="minorHAnsi"/>
          <w:sz w:val="24"/>
          <w:szCs w:val="24"/>
        </w:rPr>
        <w:t xml:space="preserve">: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14425493" wp14:editId="4FB35967">
            <wp:extent cx="5151120" cy="495300"/>
            <wp:effectExtent l="0" t="0" r="0" b="0"/>
            <wp:docPr id="38" name="Picture 38" descr="http://textflow.mcgraw-hill.com/figures/0077429524/bre25419_eq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32" descr="http://textflow.mcgraw-hill.com/figures/0077429524/bre25419_eq13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1120" cy="49530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For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the current ratio is computed as follows: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2E79A1A1" wp14:editId="0B3A75D5">
            <wp:extent cx="2141220" cy="335280"/>
            <wp:effectExtent l="0" t="0" r="0" b="7620"/>
            <wp:docPr id="37" name="Picture 37" descr="http://textflow.mcgraw-hill.com/figures/0077429524/bre25419_eq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35" descr="http://textflow.mcgraw-hill.com/figures/0077429524/bre25419_eq13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1220" cy="33528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Although widely regarded as a measure of short-term debt-paying ability, the current ratio must be interpreted with great care.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A </w:t>
      </w:r>
      <w:r w:rsidRPr="00B34B18">
        <w:rPr>
          <w:rFonts w:asciiTheme="minorHAnsi" w:eastAsia="Times New Roman" w:hAnsiTheme="minorHAnsi"/>
          <w:i/>
          <w:iCs/>
          <w:sz w:val="24"/>
          <w:szCs w:val="24"/>
        </w:rPr>
        <w:t>declining</w:t>
      </w:r>
      <w:r w:rsidRPr="00B34B18">
        <w:rPr>
          <w:rFonts w:asciiTheme="minorHAnsi" w:eastAsia="Times New Roman" w:hAnsiTheme="minorHAnsi"/>
          <w:sz w:val="24"/>
          <w:szCs w:val="24"/>
        </w:rPr>
        <w:t xml:space="preserve"> ratio might be a sign of a deteriorating financial condition, or it might be the result of eliminating obsolete inventories or other stagnant current assets. An </w:t>
      </w:r>
      <w:r w:rsidRPr="00B34B18">
        <w:rPr>
          <w:rFonts w:asciiTheme="minorHAnsi" w:eastAsia="Times New Roman" w:hAnsiTheme="minorHAnsi"/>
          <w:i/>
          <w:iCs/>
          <w:sz w:val="24"/>
          <w:szCs w:val="24"/>
        </w:rPr>
        <w:t>improving</w:t>
      </w:r>
      <w:r w:rsidRPr="00B34B18">
        <w:rPr>
          <w:rFonts w:asciiTheme="minorHAnsi" w:eastAsia="Times New Roman" w:hAnsiTheme="minorHAnsi"/>
          <w:sz w:val="24"/>
          <w:szCs w:val="24"/>
        </w:rPr>
        <w:t xml:space="preserve"> ratio might be the result of stockpiling inventory, or it might indicate an improving financial situation. In short, the current ratio is useful, but tricky to interpret.</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general rule of thumb calls for a current ratio of at least 2. However, many companies successfully operate with a current ratio below 2.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adequacy of a current ratio depends heavily on the </w:t>
      </w:r>
      <w:r w:rsidRPr="00B34B18">
        <w:rPr>
          <w:rFonts w:asciiTheme="minorHAnsi" w:eastAsia="Times New Roman" w:hAnsiTheme="minorHAnsi"/>
          <w:i/>
          <w:iCs/>
          <w:sz w:val="24"/>
          <w:szCs w:val="24"/>
        </w:rPr>
        <w:t>composition</w:t>
      </w:r>
      <w:r w:rsidRPr="00B34B18">
        <w:rPr>
          <w:rFonts w:asciiTheme="minorHAnsi" w:eastAsia="Times New Roman" w:hAnsiTheme="minorHAnsi"/>
          <w:sz w:val="24"/>
          <w:szCs w:val="24"/>
        </w:rPr>
        <w:t xml:space="preserve"> of the assets. For example, as we see in the table below, both Worthington Corporation and Greystone, Inc., have current ratios of 2. However, they are not in comparable financial condition. Greystone is more likely to have difficulty meeting its current financial obligations because almost all of its current assets consist of inventory rather than more liquid assets such as cash and accounts receivable.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5CC725C6" wp14:editId="5F00FC03">
            <wp:extent cx="3916680" cy="2011680"/>
            <wp:effectExtent l="0" t="0" r="7620" b="7620"/>
            <wp:docPr id="36" name="Picture 36" descr="http://textflow.mcgraw-hill.com/figures/0077429524/unnum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37ac" descr="http://textflow.mcgraw-hill.com/figures/0077429524/unnum6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6680" cy="2011680"/>
                    </a:xfrm>
                    <a:prstGeom prst="rect">
                      <a:avLst/>
                    </a:prstGeom>
                    <a:noFill/>
                    <a:ln>
                      <a:noFill/>
                    </a:ln>
                  </pic:spPr>
                </pic:pic>
              </a:graphicData>
            </a:graphic>
          </wp:inline>
        </w:drawing>
      </w:r>
    </w:p>
    <w:p w:rsidR="003A3F4E" w:rsidRPr="00B34B18" w:rsidRDefault="003A3F4E" w:rsidP="00B34B18">
      <w:pPr>
        <w:spacing w:after="0" w:line="240" w:lineRule="auto"/>
        <w:jc w:val="both"/>
        <w:rPr>
          <w:rFonts w:asciiTheme="minorHAnsi" w:eastAsia="Times New Roman" w:hAnsiTheme="minorHAnsi"/>
          <w:sz w:val="24"/>
          <w:szCs w:val="24"/>
        </w:rPr>
      </w:pPr>
    </w:p>
    <w:p w:rsidR="003A3F4E" w:rsidRPr="00B34B18" w:rsidRDefault="003A3F4E" w:rsidP="00B34B18">
      <w:pPr>
        <w:jc w:val="both"/>
        <w:rPr>
          <w:rFonts w:asciiTheme="minorHAnsi" w:eastAsia="Times New Roman" w:hAnsiTheme="minorHAnsi"/>
          <w:sz w:val="24"/>
          <w:szCs w:val="24"/>
        </w:rPr>
      </w:pPr>
      <w:r w:rsidRPr="00B34B18">
        <w:rPr>
          <w:rFonts w:asciiTheme="minorHAnsi" w:eastAsia="Times New Roman" w:hAnsiTheme="minorHAnsi"/>
          <w:sz w:val="24"/>
          <w:szCs w:val="24"/>
        </w:rPr>
        <w:br w:type="page"/>
      </w:r>
    </w:p>
    <w:p w:rsidR="003A3F4E" w:rsidRPr="00B34B18" w:rsidRDefault="003A3F4E"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lastRenderedPageBreak/>
        <w:t xml:space="preserve">Acid-Test (Quick) Ratio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w:t>
      </w:r>
      <w:r w:rsidRPr="00B34B18">
        <w:rPr>
          <w:rFonts w:asciiTheme="minorHAnsi" w:eastAsia="Times New Roman" w:hAnsiTheme="minorHAnsi"/>
          <w:b/>
          <w:bCs/>
          <w:sz w:val="24"/>
          <w:szCs w:val="24"/>
        </w:rPr>
        <w:t>acid-test (quick) ratio</w:t>
      </w:r>
      <w:r w:rsidRPr="00B34B18">
        <w:rPr>
          <w:rFonts w:asciiTheme="minorHAnsi" w:eastAsia="Times New Roman" w:hAnsiTheme="minorHAnsi"/>
          <w:sz w:val="24"/>
          <w:szCs w:val="24"/>
        </w:rPr>
        <w:t xml:space="preserve"> is a more rigorous test of a company's ability to meet its short-term debts than the current ratio. Inventories and prepaid expenses are excluded from total current assets, leaving only the more liquid (or “quick”) assets to be divided by current liabilities.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43D0EC2F" wp14:editId="4101B2E5">
            <wp:extent cx="5166360" cy="601980"/>
            <wp:effectExtent l="0" t="0" r="0" b="7620"/>
            <wp:docPr id="35" name="Picture 35" descr="http://textflow.mcgraw-hill.com/figures/0077429524/bre25419_eq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70" descr="http://textflow.mcgraw-hill.com/figures/0077429524/bre25419_eq13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6360" cy="60198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acid-test ratio measures how well a company can meet its obligations without having to liquidate or depend too heavily on its inventory.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Ideally, each dollar of liabilities should be backed by at least $1 of quick assets.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acid-test ratio for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is computed below: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7938E3A3" wp14:editId="1681EC5D">
            <wp:extent cx="3688080" cy="365760"/>
            <wp:effectExtent l="0" t="0" r="7620" b="0"/>
            <wp:docPr id="34" name="Picture 34" descr="http://textflow.mcgraw-hill.com/figures/0077429524/bre25419_eq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74" descr="http://textflow.mcgraw-hill.com/figures/0077429524/bre25419_eq13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8080" cy="36576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Although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acid-test ratio is within the acceptable range, an analyst might be concerned about several trends revealed in the company's balance sheet. Short-term debts are rising, while the cash balance is declining. Perhaps the lower cash balance is a result of the substantial increase in accounts receivable. In short, as with the current ratio, the acid-test ratio should be interpreted with one eye on its basic components.</w:t>
      </w:r>
    </w:p>
    <w:p w:rsidR="003A3F4E" w:rsidRPr="00B34B18" w:rsidRDefault="003A3F4E" w:rsidP="00B34B18">
      <w:pPr>
        <w:jc w:val="both"/>
        <w:rPr>
          <w:rFonts w:asciiTheme="minorHAnsi" w:eastAsia="Times New Roman" w:hAnsiTheme="minorHAnsi"/>
          <w:b/>
          <w:sz w:val="24"/>
          <w:szCs w:val="24"/>
        </w:rPr>
      </w:pPr>
      <w:r w:rsidRPr="00B34B18">
        <w:rPr>
          <w:rFonts w:asciiTheme="minorHAnsi" w:eastAsia="Times New Roman" w:hAnsiTheme="minorHAnsi"/>
          <w:b/>
          <w:sz w:val="24"/>
          <w:szCs w:val="24"/>
        </w:rPr>
        <w:br w:type="page"/>
      </w:r>
    </w:p>
    <w:p w:rsidR="003A3F4E" w:rsidRPr="00B34B18" w:rsidRDefault="003A3F4E"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lastRenderedPageBreak/>
        <w:t xml:space="preserve">Accounts Receivable Turnover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w:t>
      </w:r>
      <w:r w:rsidRPr="00B34B18">
        <w:rPr>
          <w:rFonts w:asciiTheme="minorHAnsi" w:eastAsia="Times New Roman" w:hAnsiTheme="minorHAnsi"/>
          <w:i/>
          <w:iCs/>
          <w:sz w:val="24"/>
          <w:szCs w:val="24"/>
        </w:rPr>
        <w:t>accounts receivable turnover</w:t>
      </w:r>
      <w:r w:rsidRPr="00B34B18">
        <w:rPr>
          <w:rFonts w:asciiTheme="minorHAnsi" w:eastAsia="Times New Roman" w:hAnsiTheme="minorHAnsi"/>
          <w:sz w:val="24"/>
          <w:szCs w:val="24"/>
        </w:rPr>
        <w:t xml:space="preserve"> and </w:t>
      </w:r>
      <w:r w:rsidRPr="00B34B18">
        <w:rPr>
          <w:rFonts w:asciiTheme="minorHAnsi" w:eastAsia="Times New Roman" w:hAnsiTheme="minorHAnsi"/>
          <w:i/>
          <w:iCs/>
          <w:sz w:val="24"/>
          <w:szCs w:val="24"/>
        </w:rPr>
        <w:t>average collection period</w:t>
      </w:r>
      <w:r w:rsidRPr="00B34B18">
        <w:rPr>
          <w:rFonts w:asciiTheme="minorHAnsi" w:eastAsia="Times New Roman" w:hAnsiTheme="minorHAnsi"/>
          <w:sz w:val="24"/>
          <w:szCs w:val="24"/>
        </w:rPr>
        <w:t xml:space="preserve"> ratios measure how quickly credit sales are converted into cash. The </w:t>
      </w:r>
      <w:r w:rsidRPr="00B34B18">
        <w:rPr>
          <w:rFonts w:asciiTheme="minorHAnsi" w:eastAsia="Times New Roman" w:hAnsiTheme="minorHAnsi"/>
          <w:b/>
          <w:bCs/>
          <w:sz w:val="24"/>
          <w:szCs w:val="24"/>
        </w:rPr>
        <w:t>accounts receivable turnover</w:t>
      </w:r>
      <w:r w:rsidRPr="00B34B18">
        <w:rPr>
          <w:rFonts w:asciiTheme="minorHAnsi" w:eastAsia="Times New Roman" w:hAnsiTheme="minorHAnsi"/>
          <w:sz w:val="24"/>
          <w:szCs w:val="24"/>
        </w:rPr>
        <w:t xml:space="preserve"> is computed by dividing sales on account (i.e., credit sales) by the average accounts receivable balance for the year: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115560EA" wp14:editId="13739C2B">
            <wp:extent cx="5151120" cy="502920"/>
            <wp:effectExtent l="0" t="0" r="0" b="0"/>
            <wp:docPr id="33" name="Picture 33" descr="http://textflow.mcgraw-hill.com/figures/0077429524/bre25419_eq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80" descr="http://textflow.mcgraw-hill.com/figures/0077429524/bre25419_eq13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1120" cy="50292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Assuming that all of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sales were on account, its accounts receivable turnover is computed as follows: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553AE913" wp14:editId="500C545E">
            <wp:extent cx="4091940" cy="365760"/>
            <wp:effectExtent l="0" t="0" r="3810" b="0"/>
            <wp:docPr id="32" name="Picture 32" descr="http://textflow.mcgraw-hill.com/figures/0077429524/bre25419_eq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83" descr="http://textflow.mcgraw-hill.com/figures/0077429524/bre25419_eq13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1940" cy="365760"/>
                    </a:xfrm>
                    <a:prstGeom prst="rect">
                      <a:avLst/>
                    </a:prstGeom>
                    <a:noFill/>
                    <a:ln>
                      <a:noFill/>
                    </a:ln>
                  </pic:spPr>
                </pic:pic>
              </a:graphicData>
            </a:graphic>
          </wp:inline>
        </w:drawing>
      </w:r>
    </w:p>
    <w:p w:rsidR="003C07EF" w:rsidRPr="00B34B18" w:rsidRDefault="003C07EF" w:rsidP="00B34B18">
      <w:pPr>
        <w:spacing w:before="100" w:beforeAutospacing="1" w:after="100" w:afterAutospacing="1" w:line="240" w:lineRule="auto"/>
        <w:jc w:val="both"/>
        <w:rPr>
          <w:rFonts w:asciiTheme="minorHAnsi" w:eastAsia="Times New Roman" w:hAnsiTheme="minorHAnsi"/>
          <w:sz w:val="24"/>
          <w:szCs w:val="24"/>
        </w:rPr>
      </w:pPr>
    </w:p>
    <w:p w:rsidR="003C07EF" w:rsidRPr="00B34B18" w:rsidRDefault="003C07EF" w:rsidP="00B34B18">
      <w:pPr>
        <w:spacing w:before="100" w:beforeAutospacing="1" w:after="100" w:afterAutospacing="1"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t>Average Collection Period</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accounts receivable turnover can then be divided into 365 days to determine the average number of days required to collect an account (known as the </w:t>
      </w:r>
      <w:r w:rsidRPr="00B34B18">
        <w:rPr>
          <w:rFonts w:asciiTheme="minorHAnsi" w:eastAsia="Times New Roman" w:hAnsiTheme="minorHAnsi"/>
          <w:b/>
          <w:bCs/>
          <w:sz w:val="24"/>
          <w:szCs w:val="24"/>
        </w:rPr>
        <w:t>average collection period</w:t>
      </w:r>
      <w:r w:rsidRPr="00B34B18">
        <w:rPr>
          <w:rFonts w:asciiTheme="minorHAnsi" w:eastAsia="Times New Roman" w:hAnsiTheme="minorHAnsi"/>
          <w:sz w:val="24"/>
          <w:szCs w:val="24"/>
        </w:rPr>
        <w:t xml:space="preserve">).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040D8B85" wp14:editId="16AE19FA">
            <wp:extent cx="5151120" cy="487680"/>
            <wp:effectExtent l="0" t="0" r="0" b="7620"/>
            <wp:docPr id="31" name="Picture 31" descr="http://textflow.mcgraw-hill.com/figures/0077429524/bre25419_eq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86" descr="http://textflow.mcgraw-hill.com/figures/0077429524/bre25419_eq13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1120" cy="48768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average collection period for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is computed as follows: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30274930" wp14:editId="6E2F8735">
            <wp:extent cx="2926080" cy="350520"/>
            <wp:effectExtent l="0" t="0" r="7620" b="0"/>
            <wp:docPr id="30" name="Picture 30" descr="http://textflow.mcgraw-hill.com/figures/0077429524/bre25419_eq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89" descr="http://textflow.mcgraw-hill.com/figures/0077429524/bre25419_eq13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6080" cy="35052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This means that on average it takes 35 days to collect a credit sale.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Whether this is good or bad depends on the credit terms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is offering its customers. Many customers will tend to withhold payment for as long as the credit terms allow. If the credit terms are 30 days, then a 35-day average collection period would usually be viewed as very good. On the other hand, if the company's credit terms are 10 days, then a 35-day average collection period is worrisome.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A long collection period may result from having too many old uncollectible accounts, failing to bill promptly or follow up on late accounts, lax credit checks, and so on. </w:t>
      </w:r>
    </w:p>
    <w:p w:rsidR="003A3F4E" w:rsidRPr="00B34B18" w:rsidRDefault="003A3F4E" w:rsidP="00B34B18">
      <w:pPr>
        <w:jc w:val="both"/>
        <w:rPr>
          <w:rFonts w:asciiTheme="minorHAnsi" w:eastAsia="Times New Roman" w:hAnsiTheme="minorHAnsi"/>
          <w:b/>
          <w:sz w:val="24"/>
          <w:szCs w:val="24"/>
        </w:rPr>
      </w:pPr>
      <w:r w:rsidRPr="00B34B18">
        <w:rPr>
          <w:rFonts w:asciiTheme="minorHAnsi" w:eastAsia="Times New Roman" w:hAnsiTheme="minorHAnsi"/>
          <w:b/>
          <w:sz w:val="24"/>
          <w:szCs w:val="24"/>
        </w:rPr>
        <w:br w:type="page"/>
      </w:r>
    </w:p>
    <w:p w:rsidR="003A3F4E" w:rsidRPr="00B34B18" w:rsidRDefault="003A3F4E"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lastRenderedPageBreak/>
        <w:t xml:space="preserve">Inventory Turnover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w:t>
      </w:r>
      <w:r w:rsidRPr="00B34B18">
        <w:rPr>
          <w:rFonts w:asciiTheme="minorHAnsi" w:eastAsia="Times New Roman" w:hAnsiTheme="minorHAnsi"/>
          <w:b/>
          <w:bCs/>
          <w:sz w:val="24"/>
          <w:szCs w:val="24"/>
        </w:rPr>
        <w:t>inventory turnover ratio</w:t>
      </w:r>
      <w:r w:rsidRPr="00B34B18">
        <w:rPr>
          <w:rFonts w:asciiTheme="minorHAnsi" w:eastAsia="Times New Roman" w:hAnsiTheme="minorHAnsi"/>
          <w:sz w:val="24"/>
          <w:szCs w:val="24"/>
        </w:rPr>
        <w:t xml:space="preserve"> measures how many times a company's inventory has been sold and replaced during the year. It is computed by dividing the cost of goods sold by the average level of inventory [(Beginning inventory balance + Ending inventory balance) ÷ 2]: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3062F51D" wp14:editId="5F6232EC">
            <wp:extent cx="5173980" cy="518160"/>
            <wp:effectExtent l="0" t="0" r="7620" b="0"/>
            <wp:docPr id="29" name="Picture 29" descr="http://textflow.mcgraw-hill.com/figures/0077429524/bre25419_eq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95" descr="http://textflow.mcgraw-hill.com/figures/0077429524/bre25419_eq13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3980" cy="51816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proofErr w:type="spellStart"/>
      <w:r w:rsidRPr="00B34B18">
        <w:rPr>
          <w:rFonts w:asciiTheme="minorHAnsi" w:eastAsia="Times New Roman" w:hAnsiTheme="minorHAnsi"/>
          <w:sz w:val="24"/>
          <w:szCs w:val="24"/>
        </w:rPr>
        <w:t>Brickey's</w:t>
      </w:r>
      <w:proofErr w:type="spellEnd"/>
      <w:r w:rsidRPr="00B34B18">
        <w:rPr>
          <w:rFonts w:asciiTheme="minorHAnsi" w:eastAsia="Times New Roman" w:hAnsiTheme="minorHAnsi"/>
          <w:sz w:val="24"/>
          <w:szCs w:val="24"/>
        </w:rPr>
        <w:t xml:space="preserve"> inventory turnover is computed as follows: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55487C52" wp14:editId="58D647E7">
            <wp:extent cx="4046220" cy="548640"/>
            <wp:effectExtent l="0" t="0" r="0" b="3810"/>
            <wp:docPr id="28" name="Picture 28" descr="http://textflow.mcgraw-hill.com/figures/0077429524/bre25419_eq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798" descr="http://textflow.mcgraw-hill.com/figures/0077429524/bre25419_eq13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6220" cy="548640"/>
                    </a:xfrm>
                    <a:prstGeom prst="rect">
                      <a:avLst/>
                    </a:prstGeom>
                    <a:noFill/>
                    <a:ln>
                      <a:noFill/>
                    </a:ln>
                  </pic:spPr>
                </pic:pic>
              </a:graphicData>
            </a:graphic>
          </wp:inline>
        </w:drawing>
      </w:r>
    </w:p>
    <w:p w:rsidR="003C07EF" w:rsidRPr="00B34B18" w:rsidRDefault="003C07EF" w:rsidP="00B34B18">
      <w:pPr>
        <w:spacing w:before="100" w:beforeAutospacing="1" w:after="100" w:afterAutospacing="1" w:line="240" w:lineRule="auto"/>
        <w:jc w:val="both"/>
        <w:rPr>
          <w:rFonts w:asciiTheme="minorHAnsi" w:eastAsia="Times New Roman" w:hAnsiTheme="minorHAnsi"/>
          <w:sz w:val="24"/>
          <w:szCs w:val="24"/>
        </w:rPr>
      </w:pPr>
    </w:p>
    <w:p w:rsidR="003C07EF" w:rsidRPr="00B34B18" w:rsidRDefault="003C07EF" w:rsidP="00B34B18">
      <w:pPr>
        <w:spacing w:before="100" w:beforeAutospacing="1" w:after="100" w:afterAutospacing="1"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t>Average Sale Period</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number of days needed on average to sell the entire inventory (called the </w:t>
      </w:r>
      <w:r w:rsidRPr="00B34B18">
        <w:rPr>
          <w:rFonts w:asciiTheme="minorHAnsi" w:eastAsia="Times New Roman" w:hAnsiTheme="minorHAnsi"/>
          <w:b/>
          <w:bCs/>
          <w:sz w:val="24"/>
          <w:szCs w:val="24"/>
        </w:rPr>
        <w:t>average sale period)</w:t>
      </w:r>
      <w:r w:rsidRPr="00B34B18">
        <w:rPr>
          <w:rFonts w:asciiTheme="minorHAnsi" w:eastAsia="Times New Roman" w:hAnsiTheme="minorHAnsi"/>
          <w:sz w:val="24"/>
          <w:szCs w:val="24"/>
        </w:rPr>
        <w:t xml:space="preserve"> can be computed by dividing 365 by the inventory turnover: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2F915B43" wp14:editId="7666D3DB">
            <wp:extent cx="5151120" cy="891540"/>
            <wp:effectExtent l="0" t="0" r="0" b="3810"/>
            <wp:docPr id="27" name="Picture 27" descr="http://textflow.mcgraw-hill.com/figures/0077429524/bre25419_eq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801" descr="http://textflow.mcgraw-hill.com/figures/0077429524/bre25419_eq13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1120" cy="89154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The average sale period varies from industry to industry. Grocery stores, with significant perishable stocks, tend to turn over their inventory quickly. On the other hand, jewelry stores tend to turn over their inventory slowly. In practice, average sales periods of 10 days to 90 days are common, depending on the industry.</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A company whose inventory turnover ratio is much slower than the average for its industry may have too much inventory or the wrong sorts of inventory. Some managers argue that they must buy in large quantities to take advantage of quantity discounts. But these discounts must be compared to the added costs of insurance, taxes, financing, and risks of obsolescence and deterioration that result from carrying added inventories.</w:t>
      </w:r>
    </w:p>
    <w:p w:rsidR="003A3F4E" w:rsidRPr="00B34B18" w:rsidRDefault="003A3F4E" w:rsidP="00B34B18">
      <w:pPr>
        <w:jc w:val="both"/>
        <w:rPr>
          <w:rFonts w:asciiTheme="minorHAnsi" w:eastAsia="Times New Roman" w:hAnsiTheme="minorHAnsi"/>
          <w:sz w:val="24"/>
          <w:szCs w:val="24"/>
        </w:rPr>
      </w:pPr>
      <w:r w:rsidRPr="00B34B18">
        <w:rPr>
          <w:rFonts w:asciiTheme="minorHAnsi" w:eastAsia="Times New Roman" w:hAnsiTheme="minorHAnsi"/>
          <w:sz w:val="24"/>
          <w:szCs w:val="24"/>
        </w:rPr>
        <w:br w:type="page"/>
      </w:r>
    </w:p>
    <w:p w:rsidR="003A3F4E" w:rsidRPr="00B34B18" w:rsidRDefault="003A3F4E"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lastRenderedPageBreak/>
        <w:t xml:space="preserve">RATIO ANALYSIS—THE LONG-TERM CREDITOR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Long-term creditors are concerned with a company's ability to repay its loans over the long run.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For example, if a company paid out all of its available cash in the form of dividends, then nothing would be left to pay back creditors. Consequently, creditors often seek protection by requiring that borrowers agree to various restrictive covenants, or rules. These restrictive covenants typically include restrictions on dividend payments as well as rules stating that the company must maintain certain financial ratios at specified levels. </w:t>
      </w:r>
    </w:p>
    <w:p w:rsidR="003A3F4E" w:rsidRPr="00B34B18" w:rsidRDefault="003A3F4E"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t xml:space="preserve">Times Interest Earned Ratio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most common measure of a company's ability to provide protection to its long-term creditors is the </w:t>
      </w:r>
      <w:r w:rsidRPr="00B34B18">
        <w:rPr>
          <w:rFonts w:asciiTheme="minorHAnsi" w:eastAsia="Times New Roman" w:hAnsiTheme="minorHAnsi"/>
          <w:b/>
          <w:bCs/>
          <w:sz w:val="24"/>
          <w:szCs w:val="24"/>
        </w:rPr>
        <w:t>times interest earned ratio.</w:t>
      </w:r>
      <w:r w:rsidRPr="00B34B18">
        <w:rPr>
          <w:rFonts w:asciiTheme="minorHAnsi" w:eastAsia="Times New Roman" w:hAnsiTheme="minorHAnsi"/>
          <w:sz w:val="24"/>
          <w:szCs w:val="24"/>
        </w:rPr>
        <w:t xml:space="preserve"> It is computed by dividing earnings before interest expense and income taxes (i.e., net operating income) by interest expense: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61DA7370" wp14:editId="148B8BB2">
            <wp:extent cx="5166360" cy="518160"/>
            <wp:effectExtent l="0" t="0" r="0" b="0"/>
            <wp:docPr id="45" name="Picture 45" descr="http://textflow.mcgraw-hill.com/figures/0077429524/bre25419_eq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846" descr="http://textflow.mcgraw-hill.com/figures/0077429524/bre25419_eq13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6360" cy="51816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For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the times interest earned ratio for this year is computed as follows: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487AF6BE" wp14:editId="3058B103">
            <wp:extent cx="2514600" cy="365760"/>
            <wp:effectExtent l="0" t="0" r="0" b="0"/>
            <wp:docPr id="44" name="Picture 44" descr="http://textflow.mcgraw-hill.com/figures/0077429524/bre25419_eq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849" descr="http://textflow.mcgraw-hill.com/figures/0077429524/bre25419_eq13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36576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times interest earned ratio is based on earnings before interest expense and income taxes because that is the amount of earnings that is available for making interest payments. Interest expenses are deducted </w:t>
      </w:r>
      <w:r w:rsidRPr="00B34B18">
        <w:rPr>
          <w:rFonts w:asciiTheme="minorHAnsi" w:eastAsia="Times New Roman" w:hAnsiTheme="minorHAnsi"/>
          <w:i/>
          <w:iCs/>
          <w:sz w:val="24"/>
          <w:szCs w:val="24"/>
        </w:rPr>
        <w:t>before</w:t>
      </w:r>
      <w:r w:rsidRPr="00B34B18">
        <w:rPr>
          <w:rFonts w:asciiTheme="minorHAnsi" w:eastAsia="Times New Roman" w:hAnsiTheme="minorHAnsi"/>
          <w:sz w:val="24"/>
          <w:szCs w:val="24"/>
        </w:rPr>
        <w:t xml:space="preserve"> income taxes are determined; creditors have first claim on the earnings before taxes are paid.</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A times interest earned ratio of less than 1 is inadequate because interest expense exceeds the earnings that are available for paying that interest. In contrast, a times interest earned ratio of 2 or more may be considered sufficient to protect long-term creditors.</w:t>
      </w:r>
    </w:p>
    <w:p w:rsidR="003A3F4E" w:rsidRPr="00B34B18" w:rsidRDefault="003A3F4E" w:rsidP="00B34B18">
      <w:pPr>
        <w:jc w:val="both"/>
        <w:rPr>
          <w:rFonts w:asciiTheme="minorHAnsi" w:eastAsia="Times New Roman" w:hAnsiTheme="minorHAnsi"/>
          <w:sz w:val="24"/>
          <w:szCs w:val="24"/>
        </w:rPr>
      </w:pPr>
      <w:r w:rsidRPr="00B34B18">
        <w:rPr>
          <w:rFonts w:asciiTheme="minorHAnsi" w:eastAsia="Times New Roman" w:hAnsiTheme="minorHAnsi"/>
          <w:sz w:val="24"/>
          <w:szCs w:val="24"/>
        </w:rPr>
        <w:br w:type="page"/>
      </w:r>
    </w:p>
    <w:p w:rsidR="003A3F4E" w:rsidRPr="00B34B18" w:rsidRDefault="003A3F4E" w:rsidP="00B34B18">
      <w:pPr>
        <w:spacing w:before="100" w:beforeAutospacing="1" w:after="100" w:afterAutospacing="1"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lastRenderedPageBreak/>
        <w:t>Debt to Equity Ratio:</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Long-term creditors are also concerned with a company's ability to keep a reasonable balance between its debt and equity. This balance is measured by the </w:t>
      </w:r>
      <w:r w:rsidRPr="00B34B18">
        <w:rPr>
          <w:rFonts w:asciiTheme="minorHAnsi" w:eastAsia="Times New Roman" w:hAnsiTheme="minorHAnsi"/>
          <w:b/>
          <w:bCs/>
          <w:sz w:val="24"/>
          <w:szCs w:val="24"/>
        </w:rPr>
        <w:t>debt-to-equity ratio:</w:t>
      </w:r>
      <w:r w:rsidRPr="00B34B18">
        <w:rPr>
          <w:rFonts w:asciiTheme="minorHAnsi" w:eastAsia="Times New Roman" w:hAnsiTheme="minorHAnsi"/>
          <w:sz w:val="24"/>
          <w:szCs w:val="24"/>
        </w:rPr>
        <w:t xml:space="preserve">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558B9FB3" wp14:editId="687A672C">
            <wp:extent cx="5151120" cy="502920"/>
            <wp:effectExtent l="0" t="0" r="0" b="0"/>
            <wp:docPr id="43" name="Picture 43" descr="http://textflow.mcgraw-hill.com/figures/0077429524/bre25419_eq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861" descr="http://textflow.mcgraw-hill.com/figures/0077429524/bre25419_eq13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1120" cy="50292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proofErr w:type="spellStart"/>
      <w:r w:rsidRPr="00B34B18">
        <w:rPr>
          <w:rFonts w:asciiTheme="minorHAnsi" w:eastAsia="Times New Roman" w:hAnsiTheme="minorHAnsi"/>
          <w:sz w:val="24"/>
          <w:szCs w:val="24"/>
        </w:rPr>
        <w:t>Brickey's</w:t>
      </w:r>
      <w:proofErr w:type="spellEnd"/>
      <w:r w:rsidRPr="00B34B18">
        <w:rPr>
          <w:rFonts w:asciiTheme="minorHAnsi" w:eastAsia="Times New Roman" w:hAnsiTheme="minorHAnsi"/>
          <w:sz w:val="24"/>
          <w:szCs w:val="24"/>
        </w:rPr>
        <w:t xml:space="preserve"> debt-to-equity ratio for this year is computed as follows: </w:t>
      </w:r>
    </w:p>
    <w:p w:rsidR="003A3F4E" w:rsidRPr="00B34B18" w:rsidRDefault="003A3F4E" w:rsidP="00B34B18">
      <w:pPr>
        <w:spacing w:after="0" w:line="240" w:lineRule="auto"/>
        <w:jc w:val="both"/>
        <w:rPr>
          <w:rFonts w:asciiTheme="minorHAnsi" w:eastAsia="Times New Roman" w:hAnsiTheme="minorHAnsi"/>
          <w:sz w:val="24"/>
          <w:szCs w:val="24"/>
        </w:rPr>
      </w:pPr>
      <w:r w:rsidRPr="00B34B18">
        <w:rPr>
          <w:rFonts w:asciiTheme="minorHAnsi" w:eastAsia="Times New Roman" w:hAnsiTheme="minorHAnsi"/>
          <w:noProof/>
          <w:sz w:val="24"/>
          <w:szCs w:val="24"/>
        </w:rPr>
        <w:drawing>
          <wp:inline distT="0" distB="0" distL="0" distR="0" wp14:anchorId="3AD4F853" wp14:editId="17474CDD">
            <wp:extent cx="2552700" cy="342900"/>
            <wp:effectExtent l="0" t="0" r="0" b="0"/>
            <wp:docPr id="42" name="Picture 42" descr="http://textflow.mcgraw-hill.com/figures/0077429524/bre25419_eq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37864" descr="http://textflow.mcgraw-hill.com/figures/0077429524/bre25419_eq13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342900"/>
                    </a:xfrm>
                    <a:prstGeom prst="rect">
                      <a:avLst/>
                    </a:prstGeom>
                    <a:noFill/>
                    <a:ln>
                      <a:noFill/>
                    </a:ln>
                  </pic:spPr>
                </pic:pic>
              </a:graphicData>
            </a:graphic>
          </wp:inline>
        </w:drawing>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 debt-to-equity ratio indicates the relative proportions of debt and equity on the company's balance sheet. At the end of this year, </w:t>
      </w:r>
      <w:proofErr w:type="spellStart"/>
      <w:r w:rsidRPr="00B34B18">
        <w:rPr>
          <w:rFonts w:asciiTheme="minorHAnsi" w:eastAsia="Times New Roman" w:hAnsiTheme="minorHAnsi"/>
          <w:sz w:val="24"/>
          <w:szCs w:val="24"/>
        </w:rPr>
        <w:t>Brickey</w:t>
      </w:r>
      <w:proofErr w:type="spellEnd"/>
      <w:r w:rsidRPr="00B34B18">
        <w:rPr>
          <w:rFonts w:asciiTheme="minorHAnsi" w:eastAsia="Times New Roman" w:hAnsiTheme="minorHAnsi"/>
          <w:sz w:val="24"/>
          <w:szCs w:val="24"/>
        </w:rPr>
        <w:t xml:space="preserve"> Electronics' creditors were providing 85 cents for each $1 being provided by stockholders.</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proofErr w:type="gramStart"/>
      <w:r w:rsidRPr="00B34B18">
        <w:rPr>
          <w:rFonts w:asciiTheme="minorHAnsi" w:eastAsia="Times New Roman" w:hAnsiTheme="minorHAnsi"/>
          <w:sz w:val="24"/>
          <w:szCs w:val="24"/>
        </w:rPr>
        <w:t>Because equity represents the excess of total assets over total liabilities, and hence a buffer of protection for the creditors, creditors would like to see less debt and more equity.</w:t>
      </w:r>
      <w:proofErr w:type="gramEnd"/>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In practice, debt-to-equity ratios from 0.0 (no debt) to 3.0 are common. Generally speaking, in industries with little financial risk, creditors tolerate high debt-to-equity ratios. In industries with more financial risk, creditors demand lower debt-to-equity ratios.</w:t>
      </w:r>
    </w:p>
    <w:p w:rsidR="003A3F4E" w:rsidRPr="00B34B18" w:rsidRDefault="003A3F4E" w:rsidP="00B34B18">
      <w:pPr>
        <w:jc w:val="both"/>
        <w:rPr>
          <w:rStyle w:val="sectitle"/>
          <w:rFonts w:asciiTheme="minorHAnsi" w:eastAsia="Times New Roman" w:hAnsiTheme="minorHAnsi"/>
          <w:b/>
          <w:sz w:val="24"/>
          <w:szCs w:val="24"/>
        </w:rPr>
      </w:pPr>
      <w:r w:rsidRPr="00B34B18">
        <w:rPr>
          <w:rStyle w:val="sectitle"/>
          <w:rFonts w:asciiTheme="minorHAnsi" w:hAnsiTheme="minorHAnsi"/>
          <w:b/>
          <w:sz w:val="24"/>
          <w:szCs w:val="24"/>
        </w:rPr>
        <w:br w:type="page"/>
      </w:r>
    </w:p>
    <w:p w:rsidR="003A3F4E" w:rsidRPr="00B34B18" w:rsidRDefault="003A3F4E" w:rsidP="00B34B18">
      <w:pPr>
        <w:pStyle w:val="NormalWeb"/>
        <w:jc w:val="both"/>
        <w:rPr>
          <w:rFonts w:asciiTheme="minorHAnsi" w:hAnsiTheme="minorHAnsi"/>
          <w:b/>
        </w:rPr>
      </w:pPr>
      <w:r w:rsidRPr="00B34B18">
        <w:rPr>
          <w:rStyle w:val="sectitle"/>
          <w:rFonts w:asciiTheme="minorHAnsi" w:hAnsiTheme="minorHAnsi"/>
          <w:b/>
        </w:rPr>
        <w:lastRenderedPageBreak/>
        <w:t>LIMITATIONS OF FINANCIAL STATEMENT ANALYSIS</w:t>
      </w:r>
    </w:p>
    <w:p w:rsidR="003A3F4E" w:rsidRPr="00B34B18" w:rsidRDefault="003A3F4E"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t xml:space="preserve">Comparing Financial Data across Companies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Comparisons of one company with another can provide valuable clues about the financial health of an organization. Unfortunately, differences in accounting methods between companies sometimes make it difficult to compare their financial data. Even with this limitation in mind, comparisons of key ratios with other companies and with industry averages often suggest avenues for further investigation.</w:t>
      </w:r>
    </w:p>
    <w:p w:rsidR="003A3F4E" w:rsidRPr="00B34B18" w:rsidRDefault="003A3F4E" w:rsidP="00B34B18">
      <w:pPr>
        <w:spacing w:after="0" w:line="240" w:lineRule="auto"/>
        <w:jc w:val="both"/>
        <w:rPr>
          <w:rFonts w:asciiTheme="minorHAnsi" w:eastAsia="Times New Roman" w:hAnsiTheme="minorHAnsi"/>
          <w:b/>
          <w:sz w:val="24"/>
          <w:szCs w:val="24"/>
        </w:rPr>
      </w:pPr>
      <w:r w:rsidRPr="00B34B18">
        <w:rPr>
          <w:rFonts w:asciiTheme="minorHAnsi" w:eastAsia="Times New Roman" w:hAnsiTheme="minorHAnsi"/>
          <w:b/>
          <w:sz w:val="24"/>
          <w:szCs w:val="24"/>
        </w:rPr>
        <w:t xml:space="preserve">Looking beyond Ratios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Ratios should not be viewed as an end, but rather as a </w:t>
      </w:r>
      <w:r w:rsidRPr="00B34B18">
        <w:rPr>
          <w:rFonts w:asciiTheme="minorHAnsi" w:eastAsia="Times New Roman" w:hAnsiTheme="minorHAnsi"/>
          <w:i/>
          <w:iCs/>
          <w:sz w:val="24"/>
          <w:szCs w:val="24"/>
        </w:rPr>
        <w:t>starting point.</w:t>
      </w:r>
      <w:r w:rsidRPr="00B34B18">
        <w:rPr>
          <w:rFonts w:asciiTheme="minorHAnsi" w:eastAsia="Times New Roman" w:hAnsiTheme="minorHAnsi"/>
          <w:sz w:val="24"/>
          <w:szCs w:val="24"/>
        </w:rPr>
        <w:t xml:space="preserve">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 xml:space="preserve">They raise many questions and point to opportunities for further analysis, but they rarely answer any questions by themselves. </w:t>
      </w:r>
    </w:p>
    <w:p w:rsidR="003A3F4E" w:rsidRPr="00B34B18" w:rsidRDefault="003A3F4E" w:rsidP="00B34B18">
      <w:pPr>
        <w:spacing w:before="100" w:beforeAutospacing="1" w:after="100" w:afterAutospacing="1" w:line="240" w:lineRule="auto"/>
        <w:jc w:val="both"/>
        <w:rPr>
          <w:rFonts w:asciiTheme="minorHAnsi" w:eastAsia="Times New Roman" w:hAnsiTheme="minorHAnsi"/>
          <w:sz w:val="24"/>
          <w:szCs w:val="24"/>
        </w:rPr>
      </w:pPr>
      <w:r w:rsidRPr="00B34B18">
        <w:rPr>
          <w:rFonts w:asciiTheme="minorHAnsi" w:eastAsia="Times New Roman" w:hAnsiTheme="minorHAnsi"/>
          <w:sz w:val="24"/>
          <w:szCs w:val="24"/>
        </w:rPr>
        <w:t>In addition to ratios, analysts should evaluate industry trends, technological changes, changes in consumer tastes, changes in broad economic factors, and changes within the company itself.</w:t>
      </w:r>
    </w:p>
    <w:p w:rsidR="003A3F4E" w:rsidRPr="00B34B18" w:rsidRDefault="003A3F4E" w:rsidP="00B34B18">
      <w:pPr>
        <w:jc w:val="both"/>
        <w:rPr>
          <w:rFonts w:asciiTheme="minorHAnsi" w:eastAsia="Times New Roman" w:hAnsiTheme="minorHAnsi"/>
          <w:sz w:val="24"/>
          <w:szCs w:val="24"/>
        </w:rPr>
      </w:pPr>
      <w:r w:rsidRPr="00B34B18">
        <w:rPr>
          <w:rFonts w:asciiTheme="minorHAnsi" w:eastAsia="Times New Roman" w:hAnsiTheme="minorHAnsi"/>
          <w:sz w:val="24"/>
          <w:szCs w:val="24"/>
        </w:rPr>
        <w:br w:type="page"/>
      </w:r>
    </w:p>
    <w:p w:rsidR="003A3F4E" w:rsidRDefault="003A3F4E" w:rsidP="00375F74">
      <w:pPr>
        <w:jc w:val="both"/>
        <w:rPr>
          <w:rFonts w:asciiTheme="minorHAnsi" w:eastAsia="Times New Roman" w:hAnsiTheme="minorHAnsi"/>
          <w:sz w:val="24"/>
          <w:szCs w:val="24"/>
        </w:rPr>
      </w:pPr>
      <w:r w:rsidRPr="00B34B18">
        <w:rPr>
          <w:rFonts w:asciiTheme="minorHAnsi" w:hAnsiTheme="minorHAnsi"/>
          <w:noProof/>
          <w:sz w:val="24"/>
          <w:szCs w:val="24"/>
        </w:rPr>
        <w:lastRenderedPageBreak/>
        <w:drawing>
          <wp:inline distT="0" distB="0" distL="0" distR="0" wp14:anchorId="255C836B" wp14:editId="692A5E22">
            <wp:extent cx="5943600" cy="6537960"/>
            <wp:effectExtent l="0" t="0" r="0" b="0"/>
            <wp:docPr id="46" name="Picture 46" descr="http://textflow.mcgraw-hill.com/figures/0077429524/exhibit_13_6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extflow.mcgraw-hill.com/figures/0077429524/exhibit_13_6_l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537960"/>
                    </a:xfrm>
                    <a:prstGeom prst="rect">
                      <a:avLst/>
                    </a:prstGeom>
                    <a:noFill/>
                    <a:ln>
                      <a:noFill/>
                    </a:ln>
                  </pic:spPr>
                </pic:pic>
              </a:graphicData>
            </a:graphic>
          </wp:inline>
        </w:drawing>
      </w:r>
    </w:p>
    <w:p w:rsidR="003C1D4F" w:rsidRDefault="004B2C97" w:rsidP="00375F74">
      <w:pPr>
        <w:jc w:val="both"/>
        <w:rPr>
          <w:rFonts w:asciiTheme="minorHAnsi" w:eastAsia="Times New Roman" w:hAnsiTheme="minorHAnsi"/>
          <w:sz w:val="24"/>
          <w:szCs w:val="24"/>
        </w:rPr>
      </w:pPr>
      <w:r>
        <w:rPr>
          <w:rFonts w:asciiTheme="minorHAnsi" w:eastAsia="Times New Roman" w:hAnsiTheme="minorHAnsi"/>
          <w:sz w:val="24"/>
          <w:szCs w:val="24"/>
        </w:rPr>
        <w:t>Your homework will include all ratios but for your test, you</w:t>
      </w:r>
      <w:r w:rsidR="003C1D4F">
        <w:rPr>
          <w:rFonts w:asciiTheme="minorHAnsi" w:eastAsia="Times New Roman" w:hAnsiTheme="minorHAnsi"/>
          <w:sz w:val="24"/>
          <w:szCs w:val="24"/>
        </w:rPr>
        <w:t xml:space="preserve"> will </w:t>
      </w:r>
      <w:r>
        <w:rPr>
          <w:rFonts w:asciiTheme="minorHAnsi" w:eastAsia="Times New Roman" w:hAnsiTheme="minorHAnsi"/>
          <w:sz w:val="24"/>
          <w:szCs w:val="24"/>
        </w:rPr>
        <w:t xml:space="preserve">not </w:t>
      </w:r>
      <w:r w:rsidR="003C1D4F">
        <w:rPr>
          <w:rFonts w:asciiTheme="minorHAnsi" w:eastAsia="Times New Roman" w:hAnsiTheme="minorHAnsi"/>
          <w:sz w:val="24"/>
          <w:szCs w:val="24"/>
        </w:rPr>
        <w:t>be r</w:t>
      </w:r>
      <w:r>
        <w:rPr>
          <w:rFonts w:asciiTheme="minorHAnsi" w:eastAsia="Times New Roman" w:hAnsiTheme="minorHAnsi"/>
          <w:sz w:val="24"/>
          <w:szCs w:val="24"/>
        </w:rPr>
        <w:t>esponsible for</w:t>
      </w:r>
      <w:bookmarkStart w:id="0" w:name="_GoBack"/>
      <w:bookmarkEnd w:id="0"/>
      <w:r w:rsidR="003C1D4F">
        <w:rPr>
          <w:rFonts w:asciiTheme="minorHAnsi" w:eastAsia="Times New Roman" w:hAnsiTheme="minorHAnsi"/>
          <w:sz w:val="24"/>
          <w:szCs w:val="24"/>
        </w:rPr>
        <w:t>:</w:t>
      </w:r>
    </w:p>
    <w:p w:rsidR="003C1D4F" w:rsidRDefault="003C1D4F" w:rsidP="00375F74">
      <w:pPr>
        <w:jc w:val="both"/>
        <w:rPr>
          <w:rFonts w:asciiTheme="minorHAnsi" w:eastAsia="Times New Roman" w:hAnsiTheme="minorHAnsi"/>
          <w:sz w:val="24"/>
          <w:szCs w:val="24"/>
        </w:rPr>
      </w:pPr>
      <w:r>
        <w:rPr>
          <w:rFonts w:asciiTheme="minorHAnsi" w:eastAsia="Times New Roman" w:hAnsiTheme="minorHAnsi"/>
          <w:sz w:val="24"/>
          <w:szCs w:val="24"/>
        </w:rPr>
        <w:t>Price Earnings Ratio</w:t>
      </w:r>
    </w:p>
    <w:p w:rsidR="003C1D4F" w:rsidRDefault="003C1D4F" w:rsidP="00375F74">
      <w:pPr>
        <w:jc w:val="both"/>
        <w:rPr>
          <w:rFonts w:asciiTheme="minorHAnsi" w:eastAsia="Times New Roman" w:hAnsiTheme="minorHAnsi"/>
          <w:sz w:val="24"/>
          <w:szCs w:val="24"/>
        </w:rPr>
      </w:pPr>
      <w:r>
        <w:rPr>
          <w:rFonts w:asciiTheme="minorHAnsi" w:eastAsia="Times New Roman" w:hAnsiTheme="minorHAnsi"/>
          <w:sz w:val="24"/>
          <w:szCs w:val="24"/>
        </w:rPr>
        <w:t>Dividend Payout Ratio</w:t>
      </w:r>
    </w:p>
    <w:p w:rsidR="003C1D4F" w:rsidRDefault="003C1D4F" w:rsidP="00375F74">
      <w:pPr>
        <w:jc w:val="both"/>
        <w:rPr>
          <w:rFonts w:asciiTheme="minorHAnsi" w:eastAsia="Times New Roman" w:hAnsiTheme="minorHAnsi"/>
          <w:sz w:val="24"/>
          <w:szCs w:val="24"/>
        </w:rPr>
      </w:pPr>
      <w:r>
        <w:rPr>
          <w:rFonts w:asciiTheme="minorHAnsi" w:eastAsia="Times New Roman" w:hAnsiTheme="minorHAnsi"/>
          <w:sz w:val="24"/>
          <w:szCs w:val="24"/>
        </w:rPr>
        <w:t>Dividend Yield Ratio</w:t>
      </w:r>
    </w:p>
    <w:p w:rsidR="003C1D4F" w:rsidRDefault="003C1D4F" w:rsidP="00375F74">
      <w:pPr>
        <w:jc w:val="both"/>
        <w:rPr>
          <w:rFonts w:asciiTheme="minorHAnsi" w:eastAsia="Times New Roman" w:hAnsiTheme="minorHAnsi"/>
          <w:sz w:val="24"/>
          <w:szCs w:val="24"/>
        </w:rPr>
      </w:pPr>
      <w:r>
        <w:rPr>
          <w:rFonts w:asciiTheme="minorHAnsi" w:eastAsia="Times New Roman" w:hAnsiTheme="minorHAnsi"/>
          <w:sz w:val="24"/>
          <w:szCs w:val="24"/>
        </w:rPr>
        <w:t>Times Interest Earned</w:t>
      </w:r>
    </w:p>
    <w:p w:rsidR="0009511C" w:rsidRPr="00B34B18" w:rsidRDefault="0009511C" w:rsidP="00375F74">
      <w:pPr>
        <w:jc w:val="both"/>
        <w:rPr>
          <w:rFonts w:asciiTheme="minorHAnsi" w:eastAsia="Times New Roman" w:hAnsiTheme="minorHAnsi"/>
          <w:sz w:val="24"/>
          <w:szCs w:val="24"/>
        </w:rPr>
      </w:pPr>
      <w:r>
        <w:rPr>
          <w:rFonts w:asciiTheme="minorHAnsi" w:eastAsia="Times New Roman" w:hAnsiTheme="minorHAnsi"/>
          <w:sz w:val="24"/>
          <w:szCs w:val="24"/>
        </w:rPr>
        <w:t>Return on Common Stockholder’s Equity</w:t>
      </w:r>
    </w:p>
    <w:sectPr w:rsidR="0009511C" w:rsidRPr="00B34B18" w:rsidSect="00AA35B0">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4E83"/>
    <w:multiLevelType w:val="multilevel"/>
    <w:tmpl w:val="75862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F6681C"/>
    <w:multiLevelType w:val="multilevel"/>
    <w:tmpl w:val="AFB07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B3D94"/>
    <w:multiLevelType w:val="multilevel"/>
    <w:tmpl w:val="51EE6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F94D0C"/>
    <w:multiLevelType w:val="multilevel"/>
    <w:tmpl w:val="3396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7506FF"/>
    <w:multiLevelType w:val="multilevel"/>
    <w:tmpl w:val="30A6DB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2F6C78"/>
    <w:multiLevelType w:val="multilevel"/>
    <w:tmpl w:val="09068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7C67160"/>
    <w:multiLevelType w:val="multilevel"/>
    <w:tmpl w:val="609E1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9FC466D"/>
    <w:multiLevelType w:val="multilevel"/>
    <w:tmpl w:val="238A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F3314E"/>
    <w:multiLevelType w:val="multilevel"/>
    <w:tmpl w:val="670A7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7"/>
  </w:num>
  <w:num w:numId="5">
    <w:abstractNumId w:val="4"/>
  </w:num>
  <w:num w:numId="6">
    <w:abstractNumId w:val="6"/>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5B0"/>
    <w:rsid w:val="0009511C"/>
    <w:rsid w:val="00375F74"/>
    <w:rsid w:val="003A3F4E"/>
    <w:rsid w:val="003C07EF"/>
    <w:rsid w:val="003C1D4F"/>
    <w:rsid w:val="00466227"/>
    <w:rsid w:val="004B2C97"/>
    <w:rsid w:val="008A53BC"/>
    <w:rsid w:val="008B3C10"/>
    <w:rsid w:val="00AA35B0"/>
    <w:rsid w:val="00B34B18"/>
    <w:rsid w:val="00C36FEF"/>
    <w:rsid w:val="00E24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ropcapcontainer">
    <w:name w:val="dropcapcontainer"/>
    <w:basedOn w:val="Normal"/>
    <w:rsid w:val="00AA35B0"/>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AA35B0"/>
    <w:pPr>
      <w:spacing w:before="100" w:beforeAutospacing="1" w:after="100" w:afterAutospacing="1" w:line="240" w:lineRule="auto"/>
    </w:pPr>
    <w:rPr>
      <w:rFonts w:ascii="Times New Roman" w:eastAsia="Times New Roman" w:hAnsi="Times New Roman"/>
      <w:sz w:val="24"/>
      <w:szCs w:val="24"/>
    </w:rPr>
  </w:style>
  <w:style w:type="character" w:customStyle="1" w:styleId="sectitle">
    <w:name w:val="sectitle"/>
    <w:basedOn w:val="DefaultParagraphFont"/>
    <w:rsid w:val="00AA35B0"/>
  </w:style>
  <w:style w:type="paragraph" w:styleId="ListParagraph">
    <w:name w:val="List Paragraph"/>
    <w:basedOn w:val="Normal"/>
    <w:uiPriority w:val="34"/>
    <w:qFormat/>
    <w:rsid w:val="00AA35B0"/>
    <w:pPr>
      <w:ind w:left="720"/>
      <w:contextualSpacing/>
    </w:pPr>
  </w:style>
  <w:style w:type="character" w:customStyle="1" w:styleId="redtxt">
    <w:name w:val="red_txt"/>
    <w:basedOn w:val="DefaultParagraphFont"/>
    <w:rsid w:val="00AA35B0"/>
  </w:style>
  <w:style w:type="character" w:customStyle="1" w:styleId="Title1">
    <w:name w:val="Title1"/>
    <w:basedOn w:val="DefaultParagraphFont"/>
    <w:rsid w:val="00AA35B0"/>
  </w:style>
  <w:style w:type="paragraph" w:styleId="BalloonText">
    <w:name w:val="Balloon Text"/>
    <w:basedOn w:val="Normal"/>
    <w:link w:val="BalloonTextChar"/>
    <w:uiPriority w:val="99"/>
    <w:semiHidden/>
    <w:unhideWhenUsed/>
    <w:rsid w:val="00AA3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5B0"/>
    <w:rPr>
      <w:rFonts w:ascii="Tahoma" w:hAnsi="Tahoma" w:cs="Tahoma"/>
      <w:sz w:val="16"/>
      <w:szCs w:val="16"/>
    </w:rPr>
  </w:style>
  <w:style w:type="character" w:customStyle="1" w:styleId="assetshortdesc">
    <w:name w:val="asset_shortdesc"/>
    <w:basedOn w:val="DefaultParagraphFont"/>
    <w:rsid w:val="00AA35B0"/>
  </w:style>
  <w:style w:type="character" w:styleId="Hyperlink">
    <w:name w:val="Hyperlink"/>
    <w:basedOn w:val="DefaultParagraphFont"/>
    <w:uiPriority w:val="99"/>
    <w:semiHidden/>
    <w:unhideWhenUsed/>
    <w:rsid w:val="00AA35B0"/>
    <w:rPr>
      <w:color w:val="0000FF"/>
      <w:u w:val="single"/>
    </w:rPr>
  </w:style>
  <w:style w:type="paragraph" w:customStyle="1" w:styleId="cheadspa">
    <w:name w:val="cheadspa"/>
    <w:basedOn w:val="Normal"/>
    <w:rsid w:val="00AA35B0"/>
    <w:pPr>
      <w:spacing w:before="100" w:beforeAutospacing="1" w:after="100" w:afterAutospacing="1" w:line="240" w:lineRule="auto"/>
    </w:pPr>
    <w:rPr>
      <w:rFonts w:ascii="Times New Roman" w:eastAsia="Times New Roman" w:hAnsi="Times New Roman"/>
      <w:sz w:val="24"/>
      <w:szCs w:val="24"/>
    </w:rPr>
  </w:style>
  <w:style w:type="character" w:customStyle="1" w:styleId="chead">
    <w:name w:val="chead"/>
    <w:basedOn w:val="DefaultParagraphFont"/>
    <w:rsid w:val="00AA35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ropcapcontainer">
    <w:name w:val="dropcapcontainer"/>
    <w:basedOn w:val="Normal"/>
    <w:rsid w:val="00AA35B0"/>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AA35B0"/>
    <w:pPr>
      <w:spacing w:before="100" w:beforeAutospacing="1" w:after="100" w:afterAutospacing="1" w:line="240" w:lineRule="auto"/>
    </w:pPr>
    <w:rPr>
      <w:rFonts w:ascii="Times New Roman" w:eastAsia="Times New Roman" w:hAnsi="Times New Roman"/>
      <w:sz w:val="24"/>
      <w:szCs w:val="24"/>
    </w:rPr>
  </w:style>
  <w:style w:type="character" w:customStyle="1" w:styleId="sectitle">
    <w:name w:val="sectitle"/>
    <w:basedOn w:val="DefaultParagraphFont"/>
    <w:rsid w:val="00AA35B0"/>
  </w:style>
  <w:style w:type="paragraph" w:styleId="ListParagraph">
    <w:name w:val="List Paragraph"/>
    <w:basedOn w:val="Normal"/>
    <w:uiPriority w:val="34"/>
    <w:qFormat/>
    <w:rsid w:val="00AA35B0"/>
    <w:pPr>
      <w:ind w:left="720"/>
      <w:contextualSpacing/>
    </w:pPr>
  </w:style>
  <w:style w:type="character" w:customStyle="1" w:styleId="redtxt">
    <w:name w:val="red_txt"/>
    <w:basedOn w:val="DefaultParagraphFont"/>
    <w:rsid w:val="00AA35B0"/>
  </w:style>
  <w:style w:type="character" w:customStyle="1" w:styleId="Title1">
    <w:name w:val="Title1"/>
    <w:basedOn w:val="DefaultParagraphFont"/>
    <w:rsid w:val="00AA35B0"/>
  </w:style>
  <w:style w:type="paragraph" w:styleId="BalloonText">
    <w:name w:val="Balloon Text"/>
    <w:basedOn w:val="Normal"/>
    <w:link w:val="BalloonTextChar"/>
    <w:uiPriority w:val="99"/>
    <w:semiHidden/>
    <w:unhideWhenUsed/>
    <w:rsid w:val="00AA3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5B0"/>
    <w:rPr>
      <w:rFonts w:ascii="Tahoma" w:hAnsi="Tahoma" w:cs="Tahoma"/>
      <w:sz w:val="16"/>
      <w:szCs w:val="16"/>
    </w:rPr>
  </w:style>
  <w:style w:type="character" w:customStyle="1" w:styleId="assetshortdesc">
    <w:name w:val="asset_shortdesc"/>
    <w:basedOn w:val="DefaultParagraphFont"/>
    <w:rsid w:val="00AA35B0"/>
  </w:style>
  <w:style w:type="character" w:styleId="Hyperlink">
    <w:name w:val="Hyperlink"/>
    <w:basedOn w:val="DefaultParagraphFont"/>
    <w:uiPriority w:val="99"/>
    <w:semiHidden/>
    <w:unhideWhenUsed/>
    <w:rsid w:val="00AA35B0"/>
    <w:rPr>
      <w:color w:val="0000FF"/>
      <w:u w:val="single"/>
    </w:rPr>
  </w:style>
  <w:style w:type="paragraph" w:customStyle="1" w:styleId="cheadspa">
    <w:name w:val="cheadspa"/>
    <w:basedOn w:val="Normal"/>
    <w:rsid w:val="00AA35B0"/>
    <w:pPr>
      <w:spacing w:before="100" w:beforeAutospacing="1" w:after="100" w:afterAutospacing="1" w:line="240" w:lineRule="auto"/>
    </w:pPr>
    <w:rPr>
      <w:rFonts w:ascii="Times New Roman" w:eastAsia="Times New Roman" w:hAnsi="Times New Roman"/>
      <w:sz w:val="24"/>
      <w:szCs w:val="24"/>
    </w:rPr>
  </w:style>
  <w:style w:type="character" w:customStyle="1" w:styleId="chead">
    <w:name w:val="chead"/>
    <w:basedOn w:val="DefaultParagraphFont"/>
    <w:rsid w:val="00AA3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4254">
      <w:bodyDiv w:val="1"/>
      <w:marLeft w:val="0"/>
      <w:marRight w:val="0"/>
      <w:marTop w:val="0"/>
      <w:marBottom w:val="0"/>
      <w:divBdr>
        <w:top w:val="none" w:sz="0" w:space="0" w:color="auto"/>
        <w:left w:val="none" w:sz="0" w:space="0" w:color="auto"/>
        <w:bottom w:val="none" w:sz="0" w:space="0" w:color="auto"/>
        <w:right w:val="none" w:sz="0" w:space="0" w:color="auto"/>
      </w:divBdr>
      <w:divsChild>
        <w:div w:id="1587838815">
          <w:marLeft w:val="0"/>
          <w:marRight w:val="0"/>
          <w:marTop w:val="0"/>
          <w:marBottom w:val="0"/>
          <w:divBdr>
            <w:top w:val="none" w:sz="0" w:space="0" w:color="auto"/>
            <w:left w:val="none" w:sz="0" w:space="0" w:color="auto"/>
            <w:bottom w:val="none" w:sz="0" w:space="0" w:color="auto"/>
            <w:right w:val="none" w:sz="0" w:space="0" w:color="auto"/>
          </w:divBdr>
        </w:div>
        <w:div w:id="1642687859">
          <w:marLeft w:val="0"/>
          <w:marRight w:val="0"/>
          <w:marTop w:val="0"/>
          <w:marBottom w:val="0"/>
          <w:divBdr>
            <w:top w:val="none" w:sz="0" w:space="0" w:color="auto"/>
            <w:left w:val="none" w:sz="0" w:space="0" w:color="auto"/>
            <w:bottom w:val="none" w:sz="0" w:space="0" w:color="auto"/>
            <w:right w:val="none" w:sz="0" w:space="0" w:color="auto"/>
          </w:divBdr>
        </w:div>
      </w:divsChild>
    </w:div>
    <w:div w:id="126556954">
      <w:bodyDiv w:val="1"/>
      <w:marLeft w:val="0"/>
      <w:marRight w:val="0"/>
      <w:marTop w:val="0"/>
      <w:marBottom w:val="0"/>
      <w:divBdr>
        <w:top w:val="none" w:sz="0" w:space="0" w:color="auto"/>
        <w:left w:val="none" w:sz="0" w:space="0" w:color="auto"/>
        <w:bottom w:val="none" w:sz="0" w:space="0" w:color="auto"/>
        <w:right w:val="none" w:sz="0" w:space="0" w:color="auto"/>
      </w:divBdr>
    </w:div>
    <w:div w:id="490105419">
      <w:bodyDiv w:val="1"/>
      <w:marLeft w:val="0"/>
      <w:marRight w:val="0"/>
      <w:marTop w:val="0"/>
      <w:marBottom w:val="0"/>
      <w:divBdr>
        <w:top w:val="none" w:sz="0" w:space="0" w:color="auto"/>
        <w:left w:val="none" w:sz="0" w:space="0" w:color="auto"/>
        <w:bottom w:val="none" w:sz="0" w:space="0" w:color="auto"/>
        <w:right w:val="none" w:sz="0" w:space="0" w:color="auto"/>
      </w:divBdr>
      <w:divsChild>
        <w:div w:id="1183473735">
          <w:marLeft w:val="0"/>
          <w:marRight w:val="0"/>
          <w:marTop w:val="0"/>
          <w:marBottom w:val="0"/>
          <w:divBdr>
            <w:top w:val="none" w:sz="0" w:space="0" w:color="auto"/>
            <w:left w:val="none" w:sz="0" w:space="0" w:color="auto"/>
            <w:bottom w:val="none" w:sz="0" w:space="0" w:color="auto"/>
            <w:right w:val="none" w:sz="0" w:space="0" w:color="auto"/>
          </w:divBdr>
          <w:divsChild>
            <w:div w:id="1249316134">
              <w:marLeft w:val="0"/>
              <w:marRight w:val="0"/>
              <w:marTop w:val="0"/>
              <w:marBottom w:val="0"/>
              <w:divBdr>
                <w:top w:val="none" w:sz="0" w:space="0" w:color="auto"/>
                <w:left w:val="none" w:sz="0" w:space="0" w:color="auto"/>
                <w:bottom w:val="none" w:sz="0" w:space="0" w:color="auto"/>
                <w:right w:val="none" w:sz="0" w:space="0" w:color="auto"/>
              </w:divBdr>
            </w:div>
            <w:div w:id="1042174511">
              <w:marLeft w:val="0"/>
              <w:marRight w:val="0"/>
              <w:marTop w:val="0"/>
              <w:marBottom w:val="0"/>
              <w:divBdr>
                <w:top w:val="none" w:sz="0" w:space="0" w:color="auto"/>
                <w:left w:val="none" w:sz="0" w:space="0" w:color="auto"/>
                <w:bottom w:val="none" w:sz="0" w:space="0" w:color="auto"/>
                <w:right w:val="none" w:sz="0" w:space="0" w:color="auto"/>
              </w:divBdr>
              <w:divsChild>
                <w:div w:id="245653075">
                  <w:marLeft w:val="0"/>
                  <w:marRight w:val="0"/>
                  <w:marTop w:val="0"/>
                  <w:marBottom w:val="0"/>
                  <w:divBdr>
                    <w:top w:val="none" w:sz="0" w:space="0" w:color="auto"/>
                    <w:left w:val="none" w:sz="0" w:space="0" w:color="auto"/>
                    <w:bottom w:val="none" w:sz="0" w:space="0" w:color="auto"/>
                    <w:right w:val="none" w:sz="0" w:space="0" w:color="auto"/>
                  </w:divBdr>
                </w:div>
              </w:divsChild>
            </w:div>
            <w:div w:id="2114127705">
              <w:marLeft w:val="0"/>
              <w:marRight w:val="0"/>
              <w:marTop w:val="0"/>
              <w:marBottom w:val="0"/>
              <w:divBdr>
                <w:top w:val="none" w:sz="0" w:space="0" w:color="auto"/>
                <w:left w:val="none" w:sz="0" w:space="0" w:color="auto"/>
                <w:bottom w:val="none" w:sz="0" w:space="0" w:color="auto"/>
                <w:right w:val="none" w:sz="0" w:space="0" w:color="auto"/>
              </w:divBdr>
              <w:divsChild>
                <w:div w:id="2137335546">
                  <w:marLeft w:val="0"/>
                  <w:marRight w:val="0"/>
                  <w:marTop w:val="0"/>
                  <w:marBottom w:val="0"/>
                  <w:divBdr>
                    <w:top w:val="none" w:sz="0" w:space="0" w:color="auto"/>
                    <w:left w:val="none" w:sz="0" w:space="0" w:color="auto"/>
                    <w:bottom w:val="none" w:sz="0" w:space="0" w:color="auto"/>
                    <w:right w:val="none" w:sz="0" w:space="0" w:color="auto"/>
                  </w:divBdr>
                  <w:divsChild>
                    <w:div w:id="2017687984">
                      <w:marLeft w:val="0"/>
                      <w:marRight w:val="0"/>
                      <w:marTop w:val="0"/>
                      <w:marBottom w:val="0"/>
                      <w:divBdr>
                        <w:top w:val="none" w:sz="0" w:space="0" w:color="auto"/>
                        <w:left w:val="none" w:sz="0" w:space="0" w:color="auto"/>
                        <w:bottom w:val="none" w:sz="0" w:space="0" w:color="auto"/>
                        <w:right w:val="none" w:sz="0" w:space="0" w:color="auto"/>
                      </w:divBdr>
                    </w:div>
                  </w:divsChild>
                </w:div>
                <w:div w:id="1171137605">
                  <w:marLeft w:val="0"/>
                  <w:marRight w:val="0"/>
                  <w:marTop w:val="0"/>
                  <w:marBottom w:val="0"/>
                  <w:divBdr>
                    <w:top w:val="none" w:sz="0" w:space="0" w:color="auto"/>
                    <w:left w:val="none" w:sz="0" w:space="0" w:color="auto"/>
                    <w:bottom w:val="none" w:sz="0" w:space="0" w:color="auto"/>
                    <w:right w:val="none" w:sz="0" w:space="0" w:color="auto"/>
                  </w:divBdr>
                  <w:divsChild>
                    <w:div w:id="13688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6782">
              <w:marLeft w:val="0"/>
              <w:marRight w:val="0"/>
              <w:marTop w:val="0"/>
              <w:marBottom w:val="0"/>
              <w:divBdr>
                <w:top w:val="none" w:sz="0" w:space="0" w:color="auto"/>
                <w:left w:val="none" w:sz="0" w:space="0" w:color="auto"/>
                <w:bottom w:val="none" w:sz="0" w:space="0" w:color="auto"/>
                <w:right w:val="none" w:sz="0" w:space="0" w:color="auto"/>
              </w:divBdr>
              <w:divsChild>
                <w:div w:id="1947731748">
                  <w:marLeft w:val="0"/>
                  <w:marRight w:val="0"/>
                  <w:marTop w:val="0"/>
                  <w:marBottom w:val="0"/>
                  <w:divBdr>
                    <w:top w:val="none" w:sz="0" w:space="0" w:color="auto"/>
                    <w:left w:val="none" w:sz="0" w:space="0" w:color="auto"/>
                    <w:bottom w:val="none" w:sz="0" w:space="0" w:color="auto"/>
                    <w:right w:val="none" w:sz="0" w:space="0" w:color="auto"/>
                  </w:divBdr>
                  <w:divsChild>
                    <w:div w:id="1925413686">
                      <w:marLeft w:val="0"/>
                      <w:marRight w:val="0"/>
                      <w:marTop w:val="0"/>
                      <w:marBottom w:val="0"/>
                      <w:divBdr>
                        <w:top w:val="none" w:sz="0" w:space="0" w:color="auto"/>
                        <w:left w:val="none" w:sz="0" w:space="0" w:color="auto"/>
                        <w:bottom w:val="none" w:sz="0" w:space="0" w:color="auto"/>
                        <w:right w:val="none" w:sz="0" w:space="0" w:color="auto"/>
                      </w:divBdr>
                    </w:div>
                  </w:divsChild>
                </w:div>
                <w:div w:id="1271931777">
                  <w:marLeft w:val="0"/>
                  <w:marRight w:val="0"/>
                  <w:marTop w:val="0"/>
                  <w:marBottom w:val="0"/>
                  <w:divBdr>
                    <w:top w:val="none" w:sz="0" w:space="0" w:color="auto"/>
                    <w:left w:val="none" w:sz="0" w:space="0" w:color="auto"/>
                    <w:bottom w:val="none" w:sz="0" w:space="0" w:color="auto"/>
                    <w:right w:val="none" w:sz="0" w:space="0" w:color="auto"/>
                  </w:divBdr>
                  <w:divsChild>
                    <w:div w:id="162211795">
                      <w:marLeft w:val="0"/>
                      <w:marRight w:val="0"/>
                      <w:marTop w:val="0"/>
                      <w:marBottom w:val="0"/>
                      <w:divBdr>
                        <w:top w:val="none" w:sz="0" w:space="0" w:color="auto"/>
                        <w:left w:val="none" w:sz="0" w:space="0" w:color="auto"/>
                        <w:bottom w:val="none" w:sz="0" w:space="0" w:color="auto"/>
                        <w:right w:val="none" w:sz="0" w:space="0" w:color="auto"/>
                      </w:divBdr>
                    </w:div>
                  </w:divsChild>
                </w:div>
                <w:div w:id="1809472909">
                  <w:marLeft w:val="0"/>
                  <w:marRight w:val="0"/>
                  <w:marTop w:val="0"/>
                  <w:marBottom w:val="0"/>
                  <w:divBdr>
                    <w:top w:val="none" w:sz="0" w:space="0" w:color="auto"/>
                    <w:left w:val="none" w:sz="0" w:space="0" w:color="auto"/>
                    <w:bottom w:val="none" w:sz="0" w:space="0" w:color="auto"/>
                    <w:right w:val="none" w:sz="0" w:space="0" w:color="auto"/>
                  </w:divBdr>
                  <w:divsChild>
                    <w:div w:id="6916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63427">
              <w:marLeft w:val="0"/>
              <w:marRight w:val="0"/>
              <w:marTop w:val="0"/>
              <w:marBottom w:val="0"/>
              <w:divBdr>
                <w:top w:val="none" w:sz="0" w:space="0" w:color="auto"/>
                <w:left w:val="none" w:sz="0" w:space="0" w:color="auto"/>
                <w:bottom w:val="none" w:sz="0" w:space="0" w:color="auto"/>
                <w:right w:val="none" w:sz="0" w:space="0" w:color="auto"/>
              </w:divBdr>
              <w:divsChild>
                <w:div w:id="203641557">
                  <w:marLeft w:val="0"/>
                  <w:marRight w:val="0"/>
                  <w:marTop w:val="0"/>
                  <w:marBottom w:val="0"/>
                  <w:divBdr>
                    <w:top w:val="none" w:sz="0" w:space="0" w:color="auto"/>
                    <w:left w:val="none" w:sz="0" w:space="0" w:color="auto"/>
                    <w:bottom w:val="none" w:sz="0" w:space="0" w:color="auto"/>
                    <w:right w:val="none" w:sz="0" w:space="0" w:color="auto"/>
                  </w:divBdr>
                </w:div>
              </w:divsChild>
            </w:div>
            <w:div w:id="1392579903">
              <w:marLeft w:val="0"/>
              <w:marRight w:val="0"/>
              <w:marTop w:val="0"/>
              <w:marBottom w:val="0"/>
              <w:divBdr>
                <w:top w:val="none" w:sz="0" w:space="0" w:color="auto"/>
                <w:left w:val="none" w:sz="0" w:space="0" w:color="auto"/>
                <w:bottom w:val="none" w:sz="0" w:space="0" w:color="auto"/>
                <w:right w:val="none" w:sz="0" w:space="0" w:color="auto"/>
              </w:divBdr>
              <w:divsChild>
                <w:div w:id="638144568">
                  <w:marLeft w:val="0"/>
                  <w:marRight w:val="0"/>
                  <w:marTop w:val="0"/>
                  <w:marBottom w:val="0"/>
                  <w:divBdr>
                    <w:top w:val="none" w:sz="0" w:space="0" w:color="auto"/>
                    <w:left w:val="none" w:sz="0" w:space="0" w:color="auto"/>
                    <w:bottom w:val="none" w:sz="0" w:space="0" w:color="auto"/>
                    <w:right w:val="none" w:sz="0" w:space="0" w:color="auto"/>
                  </w:divBdr>
                  <w:divsChild>
                    <w:div w:id="322666049">
                      <w:marLeft w:val="0"/>
                      <w:marRight w:val="0"/>
                      <w:marTop w:val="0"/>
                      <w:marBottom w:val="0"/>
                      <w:divBdr>
                        <w:top w:val="none" w:sz="0" w:space="0" w:color="auto"/>
                        <w:left w:val="none" w:sz="0" w:space="0" w:color="auto"/>
                        <w:bottom w:val="none" w:sz="0" w:space="0" w:color="auto"/>
                        <w:right w:val="none" w:sz="0" w:space="0" w:color="auto"/>
                      </w:divBdr>
                    </w:div>
                  </w:divsChild>
                </w:div>
                <w:div w:id="1527521921">
                  <w:marLeft w:val="0"/>
                  <w:marRight w:val="0"/>
                  <w:marTop w:val="0"/>
                  <w:marBottom w:val="0"/>
                  <w:divBdr>
                    <w:top w:val="none" w:sz="0" w:space="0" w:color="auto"/>
                    <w:left w:val="none" w:sz="0" w:space="0" w:color="auto"/>
                    <w:bottom w:val="none" w:sz="0" w:space="0" w:color="auto"/>
                    <w:right w:val="none" w:sz="0" w:space="0" w:color="auto"/>
                  </w:divBdr>
                  <w:divsChild>
                    <w:div w:id="2805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70750">
              <w:marLeft w:val="0"/>
              <w:marRight w:val="0"/>
              <w:marTop w:val="0"/>
              <w:marBottom w:val="0"/>
              <w:divBdr>
                <w:top w:val="none" w:sz="0" w:space="0" w:color="auto"/>
                <w:left w:val="none" w:sz="0" w:space="0" w:color="auto"/>
                <w:bottom w:val="none" w:sz="0" w:space="0" w:color="auto"/>
                <w:right w:val="none" w:sz="0" w:space="0" w:color="auto"/>
              </w:divBdr>
              <w:divsChild>
                <w:div w:id="1697728016">
                  <w:marLeft w:val="0"/>
                  <w:marRight w:val="0"/>
                  <w:marTop w:val="0"/>
                  <w:marBottom w:val="0"/>
                  <w:divBdr>
                    <w:top w:val="none" w:sz="0" w:space="0" w:color="auto"/>
                    <w:left w:val="none" w:sz="0" w:space="0" w:color="auto"/>
                    <w:bottom w:val="none" w:sz="0" w:space="0" w:color="auto"/>
                    <w:right w:val="none" w:sz="0" w:space="0" w:color="auto"/>
                  </w:divBdr>
                  <w:divsChild>
                    <w:div w:id="644353665">
                      <w:marLeft w:val="0"/>
                      <w:marRight w:val="0"/>
                      <w:marTop w:val="0"/>
                      <w:marBottom w:val="0"/>
                      <w:divBdr>
                        <w:top w:val="none" w:sz="0" w:space="0" w:color="auto"/>
                        <w:left w:val="none" w:sz="0" w:space="0" w:color="auto"/>
                        <w:bottom w:val="none" w:sz="0" w:space="0" w:color="auto"/>
                        <w:right w:val="none" w:sz="0" w:space="0" w:color="auto"/>
                      </w:divBdr>
                    </w:div>
                  </w:divsChild>
                </w:div>
                <w:div w:id="1869755078">
                  <w:marLeft w:val="0"/>
                  <w:marRight w:val="0"/>
                  <w:marTop w:val="0"/>
                  <w:marBottom w:val="0"/>
                  <w:divBdr>
                    <w:top w:val="none" w:sz="0" w:space="0" w:color="auto"/>
                    <w:left w:val="none" w:sz="0" w:space="0" w:color="auto"/>
                    <w:bottom w:val="none" w:sz="0" w:space="0" w:color="auto"/>
                    <w:right w:val="none" w:sz="0" w:space="0" w:color="auto"/>
                  </w:divBdr>
                  <w:divsChild>
                    <w:div w:id="1770806001">
                      <w:marLeft w:val="0"/>
                      <w:marRight w:val="0"/>
                      <w:marTop w:val="0"/>
                      <w:marBottom w:val="0"/>
                      <w:divBdr>
                        <w:top w:val="none" w:sz="0" w:space="0" w:color="auto"/>
                        <w:left w:val="none" w:sz="0" w:space="0" w:color="auto"/>
                        <w:bottom w:val="none" w:sz="0" w:space="0" w:color="auto"/>
                        <w:right w:val="none" w:sz="0" w:space="0" w:color="auto"/>
                      </w:divBdr>
                    </w:div>
                  </w:divsChild>
                </w:div>
                <w:div w:id="539975156">
                  <w:marLeft w:val="0"/>
                  <w:marRight w:val="0"/>
                  <w:marTop w:val="0"/>
                  <w:marBottom w:val="0"/>
                  <w:divBdr>
                    <w:top w:val="none" w:sz="0" w:space="0" w:color="auto"/>
                    <w:left w:val="none" w:sz="0" w:space="0" w:color="auto"/>
                    <w:bottom w:val="none" w:sz="0" w:space="0" w:color="auto"/>
                    <w:right w:val="none" w:sz="0" w:space="0" w:color="auto"/>
                  </w:divBdr>
                  <w:divsChild>
                    <w:div w:id="1815172890">
                      <w:marLeft w:val="0"/>
                      <w:marRight w:val="0"/>
                      <w:marTop w:val="0"/>
                      <w:marBottom w:val="0"/>
                      <w:divBdr>
                        <w:top w:val="none" w:sz="0" w:space="0" w:color="auto"/>
                        <w:left w:val="none" w:sz="0" w:space="0" w:color="auto"/>
                        <w:bottom w:val="none" w:sz="0" w:space="0" w:color="auto"/>
                        <w:right w:val="none" w:sz="0" w:space="0" w:color="auto"/>
                      </w:divBdr>
                    </w:div>
                  </w:divsChild>
                </w:div>
                <w:div w:id="604073935">
                  <w:marLeft w:val="0"/>
                  <w:marRight w:val="0"/>
                  <w:marTop w:val="0"/>
                  <w:marBottom w:val="0"/>
                  <w:divBdr>
                    <w:top w:val="none" w:sz="0" w:space="0" w:color="auto"/>
                    <w:left w:val="none" w:sz="0" w:space="0" w:color="auto"/>
                    <w:bottom w:val="none" w:sz="0" w:space="0" w:color="auto"/>
                    <w:right w:val="none" w:sz="0" w:space="0" w:color="auto"/>
                  </w:divBdr>
                  <w:divsChild>
                    <w:div w:id="33232862">
                      <w:marLeft w:val="0"/>
                      <w:marRight w:val="0"/>
                      <w:marTop w:val="0"/>
                      <w:marBottom w:val="0"/>
                      <w:divBdr>
                        <w:top w:val="none" w:sz="0" w:space="0" w:color="auto"/>
                        <w:left w:val="none" w:sz="0" w:space="0" w:color="auto"/>
                        <w:bottom w:val="none" w:sz="0" w:space="0" w:color="auto"/>
                        <w:right w:val="none" w:sz="0" w:space="0" w:color="auto"/>
                      </w:divBdr>
                    </w:div>
                  </w:divsChild>
                </w:div>
                <w:div w:id="500705529">
                  <w:marLeft w:val="0"/>
                  <w:marRight w:val="0"/>
                  <w:marTop w:val="0"/>
                  <w:marBottom w:val="0"/>
                  <w:divBdr>
                    <w:top w:val="none" w:sz="0" w:space="0" w:color="auto"/>
                    <w:left w:val="none" w:sz="0" w:space="0" w:color="auto"/>
                    <w:bottom w:val="none" w:sz="0" w:space="0" w:color="auto"/>
                    <w:right w:val="none" w:sz="0" w:space="0" w:color="auto"/>
                  </w:divBdr>
                  <w:divsChild>
                    <w:div w:id="19643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4113">
              <w:marLeft w:val="0"/>
              <w:marRight w:val="0"/>
              <w:marTop w:val="0"/>
              <w:marBottom w:val="0"/>
              <w:divBdr>
                <w:top w:val="none" w:sz="0" w:space="0" w:color="auto"/>
                <w:left w:val="none" w:sz="0" w:space="0" w:color="auto"/>
                <w:bottom w:val="none" w:sz="0" w:space="0" w:color="auto"/>
                <w:right w:val="none" w:sz="0" w:space="0" w:color="auto"/>
              </w:divBdr>
              <w:divsChild>
                <w:div w:id="367605082">
                  <w:marLeft w:val="0"/>
                  <w:marRight w:val="0"/>
                  <w:marTop w:val="0"/>
                  <w:marBottom w:val="0"/>
                  <w:divBdr>
                    <w:top w:val="none" w:sz="0" w:space="0" w:color="auto"/>
                    <w:left w:val="none" w:sz="0" w:space="0" w:color="auto"/>
                    <w:bottom w:val="none" w:sz="0" w:space="0" w:color="auto"/>
                    <w:right w:val="none" w:sz="0" w:space="0" w:color="auto"/>
                  </w:divBdr>
                  <w:divsChild>
                    <w:div w:id="507520096">
                      <w:marLeft w:val="0"/>
                      <w:marRight w:val="0"/>
                      <w:marTop w:val="0"/>
                      <w:marBottom w:val="0"/>
                      <w:divBdr>
                        <w:top w:val="none" w:sz="0" w:space="0" w:color="auto"/>
                        <w:left w:val="none" w:sz="0" w:space="0" w:color="auto"/>
                        <w:bottom w:val="none" w:sz="0" w:space="0" w:color="auto"/>
                        <w:right w:val="none" w:sz="0" w:space="0" w:color="auto"/>
                      </w:divBdr>
                    </w:div>
                  </w:divsChild>
                </w:div>
                <w:div w:id="1375424296">
                  <w:marLeft w:val="0"/>
                  <w:marRight w:val="0"/>
                  <w:marTop w:val="0"/>
                  <w:marBottom w:val="0"/>
                  <w:divBdr>
                    <w:top w:val="none" w:sz="0" w:space="0" w:color="auto"/>
                    <w:left w:val="none" w:sz="0" w:space="0" w:color="auto"/>
                    <w:bottom w:val="none" w:sz="0" w:space="0" w:color="auto"/>
                    <w:right w:val="none" w:sz="0" w:space="0" w:color="auto"/>
                  </w:divBdr>
                  <w:divsChild>
                    <w:div w:id="1529564744">
                      <w:marLeft w:val="0"/>
                      <w:marRight w:val="0"/>
                      <w:marTop w:val="0"/>
                      <w:marBottom w:val="0"/>
                      <w:divBdr>
                        <w:top w:val="none" w:sz="0" w:space="0" w:color="auto"/>
                        <w:left w:val="none" w:sz="0" w:space="0" w:color="auto"/>
                        <w:bottom w:val="none" w:sz="0" w:space="0" w:color="auto"/>
                        <w:right w:val="none" w:sz="0" w:space="0" w:color="auto"/>
                      </w:divBdr>
                    </w:div>
                  </w:divsChild>
                </w:div>
                <w:div w:id="1414426499">
                  <w:marLeft w:val="0"/>
                  <w:marRight w:val="0"/>
                  <w:marTop w:val="0"/>
                  <w:marBottom w:val="0"/>
                  <w:divBdr>
                    <w:top w:val="none" w:sz="0" w:space="0" w:color="auto"/>
                    <w:left w:val="none" w:sz="0" w:space="0" w:color="auto"/>
                    <w:bottom w:val="none" w:sz="0" w:space="0" w:color="auto"/>
                    <w:right w:val="none" w:sz="0" w:space="0" w:color="auto"/>
                  </w:divBdr>
                  <w:divsChild>
                    <w:div w:id="1477257931">
                      <w:marLeft w:val="0"/>
                      <w:marRight w:val="0"/>
                      <w:marTop w:val="0"/>
                      <w:marBottom w:val="0"/>
                      <w:divBdr>
                        <w:top w:val="none" w:sz="0" w:space="0" w:color="auto"/>
                        <w:left w:val="none" w:sz="0" w:space="0" w:color="auto"/>
                        <w:bottom w:val="none" w:sz="0" w:space="0" w:color="auto"/>
                        <w:right w:val="none" w:sz="0" w:space="0" w:color="auto"/>
                      </w:divBdr>
                    </w:div>
                  </w:divsChild>
                </w:div>
                <w:div w:id="1846048283">
                  <w:marLeft w:val="0"/>
                  <w:marRight w:val="0"/>
                  <w:marTop w:val="0"/>
                  <w:marBottom w:val="0"/>
                  <w:divBdr>
                    <w:top w:val="none" w:sz="0" w:space="0" w:color="auto"/>
                    <w:left w:val="none" w:sz="0" w:space="0" w:color="auto"/>
                    <w:bottom w:val="none" w:sz="0" w:space="0" w:color="auto"/>
                    <w:right w:val="none" w:sz="0" w:space="0" w:color="auto"/>
                  </w:divBdr>
                  <w:divsChild>
                    <w:div w:id="269050229">
                      <w:marLeft w:val="0"/>
                      <w:marRight w:val="0"/>
                      <w:marTop w:val="0"/>
                      <w:marBottom w:val="0"/>
                      <w:divBdr>
                        <w:top w:val="none" w:sz="0" w:space="0" w:color="auto"/>
                        <w:left w:val="none" w:sz="0" w:space="0" w:color="auto"/>
                        <w:bottom w:val="none" w:sz="0" w:space="0" w:color="auto"/>
                        <w:right w:val="none" w:sz="0" w:space="0" w:color="auto"/>
                      </w:divBdr>
                    </w:div>
                  </w:divsChild>
                </w:div>
                <w:div w:id="1459299658">
                  <w:marLeft w:val="0"/>
                  <w:marRight w:val="0"/>
                  <w:marTop w:val="0"/>
                  <w:marBottom w:val="0"/>
                  <w:divBdr>
                    <w:top w:val="none" w:sz="0" w:space="0" w:color="auto"/>
                    <w:left w:val="none" w:sz="0" w:space="0" w:color="auto"/>
                    <w:bottom w:val="none" w:sz="0" w:space="0" w:color="auto"/>
                    <w:right w:val="none" w:sz="0" w:space="0" w:color="auto"/>
                  </w:divBdr>
                </w:div>
                <w:div w:id="703871633">
                  <w:marLeft w:val="0"/>
                  <w:marRight w:val="0"/>
                  <w:marTop w:val="0"/>
                  <w:marBottom w:val="0"/>
                  <w:divBdr>
                    <w:top w:val="none" w:sz="0" w:space="0" w:color="auto"/>
                    <w:left w:val="none" w:sz="0" w:space="0" w:color="auto"/>
                    <w:bottom w:val="none" w:sz="0" w:space="0" w:color="auto"/>
                    <w:right w:val="none" w:sz="0" w:space="0" w:color="auto"/>
                  </w:divBdr>
                  <w:divsChild>
                    <w:div w:id="6051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22619">
      <w:bodyDiv w:val="1"/>
      <w:marLeft w:val="0"/>
      <w:marRight w:val="0"/>
      <w:marTop w:val="0"/>
      <w:marBottom w:val="0"/>
      <w:divBdr>
        <w:top w:val="none" w:sz="0" w:space="0" w:color="auto"/>
        <w:left w:val="none" w:sz="0" w:space="0" w:color="auto"/>
        <w:bottom w:val="none" w:sz="0" w:space="0" w:color="auto"/>
        <w:right w:val="none" w:sz="0" w:space="0" w:color="auto"/>
      </w:divBdr>
      <w:divsChild>
        <w:div w:id="462970457">
          <w:marLeft w:val="0"/>
          <w:marRight w:val="0"/>
          <w:marTop w:val="0"/>
          <w:marBottom w:val="0"/>
          <w:divBdr>
            <w:top w:val="none" w:sz="0" w:space="0" w:color="auto"/>
            <w:left w:val="none" w:sz="0" w:space="0" w:color="auto"/>
            <w:bottom w:val="none" w:sz="0" w:space="0" w:color="auto"/>
            <w:right w:val="none" w:sz="0" w:space="0" w:color="auto"/>
          </w:divBdr>
          <w:divsChild>
            <w:div w:id="1171409781">
              <w:marLeft w:val="0"/>
              <w:marRight w:val="0"/>
              <w:marTop w:val="0"/>
              <w:marBottom w:val="0"/>
              <w:divBdr>
                <w:top w:val="none" w:sz="0" w:space="0" w:color="auto"/>
                <w:left w:val="none" w:sz="0" w:space="0" w:color="auto"/>
                <w:bottom w:val="none" w:sz="0" w:space="0" w:color="auto"/>
                <w:right w:val="none" w:sz="0" w:space="0" w:color="auto"/>
              </w:divBdr>
              <w:divsChild>
                <w:div w:id="578095085">
                  <w:marLeft w:val="0"/>
                  <w:marRight w:val="0"/>
                  <w:marTop w:val="0"/>
                  <w:marBottom w:val="0"/>
                  <w:divBdr>
                    <w:top w:val="none" w:sz="0" w:space="0" w:color="auto"/>
                    <w:left w:val="none" w:sz="0" w:space="0" w:color="auto"/>
                    <w:bottom w:val="none" w:sz="0" w:space="0" w:color="auto"/>
                    <w:right w:val="none" w:sz="0" w:space="0" w:color="auto"/>
                  </w:divBdr>
                </w:div>
                <w:div w:id="1318416560">
                  <w:marLeft w:val="0"/>
                  <w:marRight w:val="0"/>
                  <w:marTop w:val="0"/>
                  <w:marBottom w:val="0"/>
                  <w:divBdr>
                    <w:top w:val="none" w:sz="0" w:space="0" w:color="auto"/>
                    <w:left w:val="none" w:sz="0" w:space="0" w:color="auto"/>
                    <w:bottom w:val="none" w:sz="0" w:space="0" w:color="auto"/>
                    <w:right w:val="none" w:sz="0" w:space="0" w:color="auto"/>
                  </w:divBdr>
                  <w:divsChild>
                    <w:div w:id="2547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7736">
              <w:marLeft w:val="0"/>
              <w:marRight w:val="0"/>
              <w:marTop w:val="0"/>
              <w:marBottom w:val="0"/>
              <w:divBdr>
                <w:top w:val="none" w:sz="0" w:space="0" w:color="auto"/>
                <w:left w:val="none" w:sz="0" w:space="0" w:color="auto"/>
                <w:bottom w:val="none" w:sz="0" w:space="0" w:color="auto"/>
                <w:right w:val="none" w:sz="0" w:space="0" w:color="auto"/>
              </w:divBdr>
            </w:div>
            <w:div w:id="69618877">
              <w:marLeft w:val="0"/>
              <w:marRight w:val="0"/>
              <w:marTop w:val="0"/>
              <w:marBottom w:val="0"/>
              <w:divBdr>
                <w:top w:val="none" w:sz="0" w:space="0" w:color="auto"/>
                <w:left w:val="none" w:sz="0" w:space="0" w:color="auto"/>
                <w:bottom w:val="none" w:sz="0" w:space="0" w:color="auto"/>
                <w:right w:val="none" w:sz="0" w:space="0" w:color="auto"/>
              </w:divBdr>
              <w:divsChild>
                <w:div w:id="1447458933">
                  <w:marLeft w:val="0"/>
                  <w:marRight w:val="0"/>
                  <w:marTop w:val="0"/>
                  <w:marBottom w:val="0"/>
                  <w:divBdr>
                    <w:top w:val="none" w:sz="0" w:space="0" w:color="auto"/>
                    <w:left w:val="none" w:sz="0" w:space="0" w:color="auto"/>
                    <w:bottom w:val="none" w:sz="0" w:space="0" w:color="auto"/>
                    <w:right w:val="none" w:sz="0" w:space="0" w:color="auto"/>
                  </w:divBdr>
                </w:div>
                <w:div w:id="1689024644">
                  <w:marLeft w:val="0"/>
                  <w:marRight w:val="0"/>
                  <w:marTop w:val="0"/>
                  <w:marBottom w:val="0"/>
                  <w:divBdr>
                    <w:top w:val="none" w:sz="0" w:space="0" w:color="auto"/>
                    <w:left w:val="none" w:sz="0" w:space="0" w:color="auto"/>
                    <w:bottom w:val="none" w:sz="0" w:space="0" w:color="auto"/>
                    <w:right w:val="none" w:sz="0" w:space="0" w:color="auto"/>
                  </w:divBdr>
                  <w:divsChild>
                    <w:div w:id="9858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29885">
              <w:marLeft w:val="0"/>
              <w:marRight w:val="0"/>
              <w:marTop w:val="0"/>
              <w:marBottom w:val="0"/>
              <w:divBdr>
                <w:top w:val="none" w:sz="0" w:space="0" w:color="auto"/>
                <w:left w:val="none" w:sz="0" w:space="0" w:color="auto"/>
                <w:bottom w:val="none" w:sz="0" w:space="0" w:color="auto"/>
                <w:right w:val="none" w:sz="0" w:space="0" w:color="auto"/>
              </w:divBdr>
              <w:divsChild>
                <w:div w:id="97413629">
                  <w:marLeft w:val="0"/>
                  <w:marRight w:val="0"/>
                  <w:marTop w:val="0"/>
                  <w:marBottom w:val="0"/>
                  <w:divBdr>
                    <w:top w:val="none" w:sz="0" w:space="0" w:color="auto"/>
                    <w:left w:val="none" w:sz="0" w:space="0" w:color="auto"/>
                    <w:bottom w:val="none" w:sz="0" w:space="0" w:color="auto"/>
                    <w:right w:val="none" w:sz="0" w:space="0" w:color="auto"/>
                  </w:divBdr>
                </w:div>
              </w:divsChild>
            </w:div>
            <w:div w:id="194006508">
              <w:marLeft w:val="0"/>
              <w:marRight w:val="0"/>
              <w:marTop w:val="0"/>
              <w:marBottom w:val="0"/>
              <w:divBdr>
                <w:top w:val="none" w:sz="0" w:space="0" w:color="auto"/>
                <w:left w:val="none" w:sz="0" w:space="0" w:color="auto"/>
                <w:bottom w:val="none" w:sz="0" w:space="0" w:color="auto"/>
                <w:right w:val="none" w:sz="0" w:space="0" w:color="auto"/>
              </w:divBdr>
              <w:divsChild>
                <w:div w:id="840461834">
                  <w:marLeft w:val="0"/>
                  <w:marRight w:val="0"/>
                  <w:marTop w:val="0"/>
                  <w:marBottom w:val="0"/>
                  <w:divBdr>
                    <w:top w:val="none" w:sz="0" w:space="0" w:color="auto"/>
                    <w:left w:val="none" w:sz="0" w:space="0" w:color="auto"/>
                    <w:bottom w:val="none" w:sz="0" w:space="0" w:color="auto"/>
                    <w:right w:val="none" w:sz="0" w:space="0" w:color="auto"/>
                  </w:divBdr>
                </w:div>
              </w:divsChild>
            </w:div>
            <w:div w:id="107314488">
              <w:marLeft w:val="0"/>
              <w:marRight w:val="0"/>
              <w:marTop w:val="0"/>
              <w:marBottom w:val="0"/>
              <w:divBdr>
                <w:top w:val="none" w:sz="0" w:space="0" w:color="auto"/>
                <w:left w:val="none" w:sz="0" w:space="0" w:color="auto"/>
                <w:bottom w:val="none" w:sz="0" w:space="0" w:color="auto"/>
                <w:right w:val="none" w:sz="0" w:space="0" w:color="auto"/>
              </w:divBdr>
              <w:divsChild>
                <w:div w:id="2132817810">
                  <w:marLeft w:val="0"/>
                  <w:marRight w:val="0"/>
                  <w:marTop w:val="0"/>
                  <w:marBottom w:val="0"/>
                  <w:divBdr>
                    <w:top w:val="none" w:sz="0" w:space="0" w:color="auto"/>
                    <w:left w:val="none" w:sz="0" w:space="0" w:color="auto"/>
                    <w:bottom w:val="none" w:sz="0" w:space="0" w:color="auto"/>
                    <w:right w:val="none" w:sz="0" w:space="0" w:color="auto"/>
                  </w:divBdr>
                </w:div>
              </w:divsChild>
            </w:div>
            <w:div w:id="1859809882">
              <w:marLeft w:val="0"/>
              <w:marRight w:val="0"/>
              <w:marTop w:val="0"/>
              <w:marBottom w:val="0"/>
              <w:divBdr>
                <w:top w:val="none" w:sz="0" w:space="0" w:color="auto"/>
                <w:left w:val="none" w:sz="0" w:space="0" w:color="auto"/>
                <w:bottom w:val="none" w:sz="0" w:space="0" w:color="auto"/>
                <w:right w:val="none" w:sz="0" w:space="0" w:color="auto"/>
              </w:divBdr>
              <w:divsChild>
                <w:div w:id="1833064430">
                  <w:marLeft w:val="0"/>
                  <w:marRight w:val="0"/>
                  <w:marTop w:val="0"/>
                  <w:marBottom w:val="0"/>
                  <w:divBdr>
                    <w:top w:val="none" w:sz="0" w:space="0" w:color="auto"/>
                    <w:left w:val="none" w:sz="0" w:space="0" w:color="auto"/>
                    <w:bottom w:val="none" w:sz="0" w:space="0" w:color="auto"/>
                    <w:right w:val="none" w:sz="0" w:space="0" w:color="auto"/>
                  </w:divBdr>
                </w:div>
              </w:divsChild>
            </w:div>
            <w:div w:id="1329287224">
              <w:marLeft w:val="0"/>
              <w:marRight w:val="0"/>
              <w:marTop w:val="0"/>
              <w:marBottom w:val="0"/>
              <w:divBdr>
                <w:top w:val="none" w:sz="0" w:space="0" w:color="auto"/>
                <w:left w:val="none" w:sz="0" w:space="0" w:color="auto"/>
                <w:bottom w:val="none" w:sz="0" w:space="0" w:color="auto"/>
                <w:right w:val="none" w:sz="0" w:space="0" w:color="auto"/>
              </w:divBdr>
              <w:divsChild>
                <w:div w:id="383069155">
                  <w:marLeft w:val="0"/>
                  <w:marRight w:val="0"/>
                  <w:marTop w:val="0"/>
                  <w:marBottom w:val="0"/>
                  <w:divBdr>
                    <w:top w:val="none" w:sz="0" w:space="0" w:color="auto"/>
                    <w:left w:val="none" w:sz="0" w:space="0" w:color="auto"/>
                    <w:bottom w:val="none" w:sz="0" w:space="0" w:color="auto"/>
                    <w:right w:val="none" w:sz="0" w:space="0" w:color="auto"/>
                  </w:divBdr>
                </w:div>
                <w:div w:id="1270576892">
                  <w:marLeft w:val="0"/>
                  <w:marRight w:val="0"/>
                  <w:marTop w:val="0"/>
                  <w:marBottom w:val="0"/>
                  <w:divBdr>
                    <w:top w:val="none" w:sz="0" w:space="0" w:color="auto"/>
                    <w:left w:val="none" w:sz="0" w:space="0" w:color="auto"/>
                    <w:bottom w:val="none" w:sz="0" w:space="0" w:color="auto"/>
                    <w:right w:val="none" w:sz="0" w:space="0" w:color="auto"/>
                  </w:divBdr>
                  <w:divsChild>
                    <w:div w:id="9942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563">
          <w:marLeft w:val="0"/>
          <w:marRight w:val="0"/>
          <w:marTop w:val="0"/>
          <w:marBottom w:val="0"/>
          <w:divBdr>
            <w:top w:val="none" w:sz="0" w:space="0" w:color="auto"/>
            <w:left w:val="none" w:sz="0" w:space="0" w:color="auto"/>
            <w:bottom w:val="none" w:sz="0" w:space="0" w:color="auto"/>
            <w:right w:val="none" w:sz="0" w:space="0" w:color="auto"/>
          </w:divBdr>
          <w:divsChild>
            <w:div w:id="965818985">
              <w:marLeft w:val="0"/>
              <w:marRight w:val="0"/>
              <w:marTop w:val="0"/>
              <w:marBottom w:val="0"/>
              <w:divBdr>
                <w:top w:val="none" w:sz="0" w:space="0" w:color="auto"/>
                <w:left w:val="none" w:sz="0" w:space="0" w:color="auto"/>
                <w:bottom w:val="none" w:sz="0" w:space="0" w:color="auto"/>
                <w:right w:val="none" w:sz="0" w:space="0" w:color="auto"/>
              </w:divBdr>
              <w:divsChild>
                <w:div w:id="666639904">
                  <w:marLeft w:val="0"/>
                  <w:marRight w:val="0"/>
                  <w:marTop w:val="0"/>
                  <w:marBottom w:val="0"/>
                  <w:divBdr>
                    <w:top w:val="none" w:sz="0" w:space="0" w:color="auto"/>
                    <w:left w:val="none" w:sz="0" w:space="0" w:color="auto"/>
                    <w:bottom w:val="none" w:sz="0" w:space="0" w:color="auto"/>
                    <w:right w:val="none" w:sz="0" w:space="0" w:color="auto"/>
                  </w:divBdr>
                </w:div>
              </w:divsChild>
            </w:div>
            <w:div w:id="1435444202">
              <w:marLeft w:val="0"/>
              <w:marRight w:val="0"/>
              <w:marTop w:val="0"/>
              <w:marBottom w:val="0"/>
              <w:divBdr>
                <w:top w:val="none" w:sz="0" w:space="0" w:color="auto"/>
                <w:left w:val="none" w:sz="0" w:space="0" w:color="auto"/>
                <w:bottom w:val="none" w:sz="0" w:space="0" w:color="auto"/>
                <w:right w:val="none" w:sz="0" w:space="0" w:color="auto"/>
              </w:divBdr>
              <w:divsChild>
                <w:div w:id="1547133114">
                  <w:marLeft w:val="0"/>
                  <w:marRight w:val="0"/>
                  <w:marTop w:val="0"/>
                  <w:marBottom w:val="0"/>
                  <w:divBdr>
                    <w:top w:val="none" w:sz="0" w:space="0" w:color="auto"/>
                    <w:left w:val="none" w:sz="0" w:space="0" w:color="auto"/>
                    <w:bottom w:val="none" w:sz="0" w:space="0" w:color="auto"/>
                    <w:right w:val="none" w:sz="0" w:space="0" w:color="auto"/>
                  </w:divBdr>
                </w:div>
                <w:div w:id="280769552">
                  <w:marLeft w:val="0"/>
                  <w:marRight w:val="0"/>
                  <w:marTop w:val="0"/>
                  <w:marBottom w:val="0"/>
                  <w:divBdr>
                    <w:top w:val="none" w:sz="0" w:space="0" w:color="auto"/>
                    <w:left w:val="none" w:sz="0" w:space="0" w:color="auto"/>
                    <w:bottom w:val="none" w:sz="0" w:space="0" w:color="auto"/>
                    <w:right w:val="none" w:sz="0" w:space="0" w:color="auto"/>
                  </w:divBdr>
                  <w:divsChild>
                    <w:div w:id="16646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43583">
              <w:marLeft w:val="0"/>
              <w:marRight w:val="0"/>
              <w:marTop w:val="0"/>
              <w:marBottom w:val="0"/>
              <w:divBdr>
                <w:top w:val="none" w:sz="0" w:space="0" w:color="auto"/>
                <w:left w:val="none" w:sz="0" w:space="0" w:color="auto"/>
                <w:bottom w:val="none" w:sz="0" w:space="0" w:color="auto"/>
                <w:right w:val="none" w:sz="0" w:space="0" w:color="auto"/>
              </w:divBdr>
              <w:divsChild>
                <w:div w:id="1714578731">
                  <w:marLeft w:val="0"/>
                  <w:marRight w:val="0"/>
                  <w:marTop w:val="0"/>
                  <w:marBottom w:val="0"/>
                  <w:divBdr>
                    <w:top w:val="none" w:sz="0" w:space="0" w:color="auto"/>
                    <w:left w:val="none" w:sz="0" w:space="0" w:color="auto"/>
                    <w:bottom w:val="none" w:sz="0" w:space="0" w:color="auto"/>
                    <w:right w:val="none" w:sz="0" w:space="0" w:color="auto"/>
                  </w:divBdr>
                </w:div>
              </w:divsChild>
            </w:div>
            <w:div w:id="1001784435">
              <w:marLeft w:val="0"/>
              <w:marRight w:val="0"/>
              <w:marTop w:val="0"/>
              <w:marBottom w:val="0"/>
              <w:divBdr>
                <w:top w:val="none" w:sz="0" w:space="0" w:color="auto"/>
                <w:left w:val="none" w:sz="0" w:space="0" w:color="auto"/>
                <w:bottom w:val="none" w:sz="0" w:space="0" w:color="auto"/>
                <w:right w:val="none" w:sz="0" w:space="0" w:color="auto"/>
              </w:divBdr>
              <w:divsChild>
                <w:div w:id="442656483">
                  <w:marLeft w:val="0"/>
                  <w:marRight w:val="0"/>
                  <w:marTop w:val="0"/>
                  <w:marBottom w:val="0"/>
                  <w:divBdr>
                    <w:top w:val="none" w:sz="0" w:space="0" w:color="auto"/>
                    <w:left w:val="none" w:sz="0" w:space="0" w:color="auto"/>
                    <w:bottom w:val="none" w:sz="0" w:space="0" w:color="auto"/>
                    <w:right w:val="none" w:sz="0" w:space="0" w:color="auto"/>
                  </w:divBdr>
                </w:div>
                <w:div w:id="35593226">
                  <w:marLeft w:val="0"/>
                  <w:marRight w:val="0"/>
                  <w:marTop w:val="0"/>
                  <w:marBottom w:val="0"/>
                  <w:divBdr>
                    <w:top w:val="none" w:sz="0" w:space="0" w:color="auto"/>
                    <w:left w:val="none" w:sz="0" w:space="0" w:color="auto"/>
                    <w:bottom w:val="none" w:sz="0" w:space="0" w:color="auto"/>
                    <w:right w:val="none" w:sz="0" w:space="0" w:color="auto"/>
                  </w:divBdr>
                  <w:divsChild>
                    <w:div w:id="9383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7550">
              <w:marLeft w:val="0"/>
              <w:marRight w:val="0"/>
              <w:marTop w:val="0"/>
              <w:marBottom w:val="0"/>
              <w:divBdr>
                <w:top w:val="none" w:sz="0" w:space="0" w:color="auto"/>
                <w:left w:val="none" w:sz="0" w:space="0" w:color="auto"/>
                <w:bottom w:val="none" w:sz="0" w:space="0" w:color="auto"/>
                <w:right w:val="none" w:sz="0" w:space="0" w:color="auto"/>
              </w:divBdr>
              <w:divsChild>
                <w:div w:id="1124349540">
                  <w:marLeft w:val="0"/>
                  <w:marRight w:val="0"/>
                  <w:marTop w:val="0"/>
                  <w:marBottom w:val="0"/>
                  <w:divBdr>
                    <w:top w:val="none" w:sz="0" w:space="0" w:color="auto"/>
                    <w:left w:val="none" w:sz="0" w:space="0" w:color="auto"/>
                    <w:bottom w:val="none" w:sz="0" w:space="0" w:color="auto"/>
                    <w:right w:val="none" w:sz="0" w:space="0" w:color="auto"/>
                  </w:divBdr>
                </w:div>
              </w:divsChild>
            </w:div>
            <w:div w:id="1539929148">
              <w:marLeft w:val="0"/>
              <w:marRight w:val="0"/>
              <w:marTop w:val="0"/>
              <w:marBottom w:val="0"/>
              <w:divBdr>
                <w:top w:val="none" w:sz="0" w:space="0" w:color="auto"/>
                <w:left w:val="none" w:sz="0" w:space="0" w:color="auto"/>
                <w:bottom w:val="none" w:sz="0" w:space="0" w:color="auto"/>
                <w:right w:val="none" w:sz="0" w:space="0" w:color="auto"/>
              </w:divBdr>
            </w:div>
            <w:div w:id="10096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3067">
      <w:bodyDiv w:val="1"/>
      <w:marLeft w:val="0"/>
      <w:marRight w:val="0"/>
      <w:marTop w:val="0"/>
      <w:marBottom w:val="0"/>
      <w:divBdr>
        <w:top w:val="none" w:sz="0" w:space="0" w:color="auto"/>
        <w:left w:val="none" w:sz="0" w:space="0" w:color="auto"/>
        <w:bottom w:val="none" w:sz="0" w:space="0" w:color="auto"/>
        <w:right w:val="none" w:sz="0" w:space="0" w:color="auto"/>
      </w:divBdr>
      <w:divsChild>
        <w:div w:id="995304822">
          <w:marLeft w:val="0"/>
          <w:marRight w:val="0"/>
          <w:marTop w:val="0"/>
          <w:marBottom w:val="0"/>
          <w:divBdr>
            <w:top w:val="none" w:sz="0" w:space="0" w:color="auto"/>
            <w:left w:val="none" w:sz="0" w:space="0" w:color="auto"/>
            <w:bottom w:val="none" w:sz="0" w:space="0" w:color="auto"/>
            <w:right w:val="none" w:sz="0" w:space="0" w:color="auto"/>
          </w:divBdr>
          <w:divsChild>
            <w:div w:id="1650787837">
              <w:marLeft w:val="0"/>
              <w:marRight w:val="0"/>
              <w:marTop w:val="0"/>
              <w:marBottom w:val="0"/>
              <w:divBdr>
                <w:top w:val="none" w:sz="0" w:space="0" w:color="auto"/>
                <w:left w:val="none" w:sz="0" w:space="0" w:color="auto"/>
                <w:bottom w:val="none" w:sz="0" w:space="0" w:color="auto"/>
                <w:right w:val="none" w:sz="0" w:space="0" w:color="auto"/>
              </w:divBdr>
            </w:div>
          </w:divsChild>
        </w:div>
        <w:div w:id="1560940067">
          <w:marLeft w:val="0"/>
          <w:marRight w:val="0"/>
          <w:marTop w:val="0"/>
          <w:marBottom w:val="0"/>
          <w:divBdr>
            <w:top w:val="none" w:sz="0" w:space="0" w:color="auto"/>
            <w:left w:val="none" w:sz="0" w:space="0" w:color="auto"/>
            <w:bottom w:val="none" w:sz="0" w:space="0" w:color="auto"/>
            <w:right w:val="none" w:sz="0" w:space="0" w:color="auto"/>
          </w:divBdr>
          <w:divsChild>
            <w:div w:id="813908255">
              <w:marLeft w:val="0"/>
              <w:marRight w:val="0"/>
              <w:marTop w:val="0"/>
              <w:marBottom w:val="0"/>
              <w:divBdr>
                <w:top w:val="none" w:sz="0" w:space="0" w:color="auto"/>
                <w:left w:val="none" w:sz="0" w:space="0" w:color="auto"/>
                <w:bottom w:val="none" w:sz="0" w:space="0" w:color="auto"/>
                <w:right w:val="none" w:sz="0" w:space="0" w:color="auto"/>
              </w:divBdr>
            </w:div>
          </w:divsChild>
        </w:div>
        <w:div w:id="2125417932">
          <w:marLeft w:val="0"/>
          <w:marRight w:val="0"/>
          <w:marTop w:val="0"/>
          <w:marBottom w:val="0"/>
          <w:divBdr>
            <w:top w:val="none" w:sz="0" w:space="0" w:color="auto"/>
            <w:left w:val="none" w:sz="0" w:space="0" w:color="auto"/>
            <w:bottom w:val="none" w:sz="0" w:space="0" w:color="auto"/>
            <w:right w:val="none" w:sz="0" w:space="0" w:color="auto"/>
          </w:divBdr>
          <w:divsChild>
            <w:div w:id="1567835154">
              <w:marLeft w:val="0"/>
              <w:marRight w:val="0"/>
              <w:marTop w:val="0"/>
              <w:marBottom w:val="0"/>
              <w:divBdr>
                <w:top w:val="none" w:sz="0" w:space="0" w:color="auto"/>
                <w:left w:val="none" w:sz="0" w:space="0" w:color="auto"/>
                <w:bottom w:val="none" w:sz="0" w:space="0" w:color="auto"/>
                <w:right w:val="none" w:sz="0" w:space="0" w:color="auto"/>
              </w:divBdr>
            </w:div>
          </w:divsChild>
        </w:div>
        <w:div w:id="1873422353">
          <w:marLeft w:val="0"/>
          <w:marRight w:val="0"/>
          <w:marTop w:val="0"/>
          <w:marBottom w:val="0"/>
          <w:divBdr>
            <w:top w:val="none" w:sz="0" w:space="0" w:color="auto"/>
            <w:left w:val="none" w:sz="0" w:space="0" w:color="auto"/>
            <w:bottom w:val="none" w:sz="0" w:space="0" w:color="auto"/>
            <w:right w:val="none" w:sz="0" w:space="0" w:color="auto"/>
          </w:divBdr>
          <w:divsChild>
            <w:div w:id="608774777">
              <w:marLeft w:val="0"/>
              <w:marRight w:val="0"/>
              <w:marTop w:val="0"/>
              <w:marBottom w:val="0"/>
              <w:divBdr>
                <w:top w:val="none" w:sz="0" w:space="0" w:color="auto"/>
                <w:left w:val="none" w:sz="0" w:space="0" w:color="auto"/>
                <w:bottom w:val="none" w:sz="0" w:space="0" w:color="auto"/>
                <w:right w:val="none" w:sz="0" w:space="0" w:color="auto"/>
              </w:divBdr>
            </w:div>
          </w:divsChild>
        </w:div>
        <w:div w:id="1354378066">
          <w:marLeft w:val="0"/>
          <w:marRight w:val="0"/>
          <w:marTop w:val="0"/>
          <w:marBottom w:val="0"/>
          <w:divBdr>
            <w:top w:val="none" w:sz="0" w:space="0" w:color="auto"/>
            <w:left w:val="none" w:sz="0" w:space="0" w:color="auto"/>
            <w:bottom w:val="none" w:sz="0" w:space="0" w:color="auto"/>
            <w:right w:val="none" w:sz="0" w:space="0" w:color="auto"/>
          </w:divBdr>
        </w:div>
        <w:div w:id="1007901471">
          <w:marLeft w:val="0"/>
          <w:marRight w:val="0"/>
          <w:marTop w:val="0"/>
          <w:marBottom w:val="0"/>
          <w:divBdr>
            <w:top w:val="none" w:sz="0" w:space="0" w:color="auto"/>
            <w:left w:val="none" w:sz="0" w:space="0" w:color="auto"/>
            <w:bottom w:val="none" w:sz="0" w:space="0" w:color="auto"/>
            <w:right w:val="none" w:sz="0" w:space="0" w:color="auto"/>
          </w:divBdr>
          <w:divsChild>
            <w:div w:id="1244339984">
              <w:marLeft w:val="0"/>
              <w:marRight w:val="0"/>
              <w:marTop w:val="0"/>
              <w:marBottom w:val="0"/>
              <w:divBdr>
                <w:top w:val="none" w:sz="0" w:space="0" w:color="auto"/>
                <w:left w:val="none" w:sz="0" w:space="0" w:color="auto"/>
                <w:bottom w:val="none" w:sz="0" w:space="0" w:color="auto"/>
                <w:right w:val="none" w:sz="0" w:space="0" w:color="auto"/>
              </w:divBdr>
            </w:div>
          </w:divsChild>
        </w:div>
        <w:div w:id="1399278393">
          <w:marLeft w:val="0"/>
          <w:marRight w:val="0"/>
          <w:marTop w:val="0"/>
          <w:marBottom w:val="0"/>
          <w:divBdr>
            <w:top w:val="none" w:sz="0" w:space="0" w:color="auto"/>
            <w:left w:val="none" w:sz="0" w:space="0" w:color="auto"/>
            <w:bottom w:val="none" w:sz="0" w:space="0" w:color="auto"/>
            <w:right w:val="none" w:sz="0" w:space="0" w:color="auto"/>
          </w:divBdr>
          <w:divsChild>
            <w:div w:id="1668558603">
              <w:marLeft w:val="0"/>
              <w:marRight w:val="0"/>
              <w:marTop w:val="0"/>
              <w:marBottom w:val="0"/>
              <w:divBdr>
                <w:top w:val="none" w:sz="0" w:space="0" w:color="auto"/>
                <w:left w:val="none" w:sz="0" w:space="0" w:color="auto"/>
                <w:bottom w:val="none" w:sz="0" w:space="0" w:color="auto"/>
                <w:right w:val="none" w:sz="0" w:space="0" w:color="auto"/>
              </w:divBdr>
            </w:div>
          </w:divsChild>
        </w:div>
        <w:div w:id="883097815">
          <w:marLeft w:val="0"/>
          <w:marRight w:val="0"/>
          <w:marTop w:val="0"/>
          <w:marBottom w:val="0"/>
          <w:divBdr>
            <w:top w:val="none" w:sz="0" w:space="0" w:color="auto"/>
            <w:left w:val="none" w:sz="0" w:space="0" w:color="auto"/>
            <w:bottom w:val="none" w:sz="0" w:space="0" w:color="auto"/>
            <w:right w:val="none" w:sz="0" w:space="0" w:color="auto"/>
          </w:divBdr>
          <w:divsChild>
            <w:div w:id="1847015029">
              <w:marLeft w:val="0"/>
              <w:marRight w:val="0"/>
              <w:marTop w:val="0"/>
              <w:marBottom w:val="0"/>
              <w:divBdr>
                <w:top w:val="none" w:sz="0" w:space="0" w:color="auto"/>
                <w:left w:val="none" w:sz="0" w:space="0" w:color="auto"/>
                <w:bottom w:val="none" w:sz="0" w:space="0" w:color="auto"/>
                <w:right w:val="none" w:sz="0" w:space="0" w:color="auto"/>
              </w:divBdr>
            </w:div>
          </w:divsChild>
        </w:div>
        <w:div w:id="751245848">
          <w:marLeft w:val="0"/>
          <w:marRight w:val="0"/>
          <w:marTop w:val="0"/>
          <w:marBottom w:val="0"/>
          <w:divBdr>
            <w:top w:val="none" w:sz="0" w:space="0" w:color="auto"/>
            <w:left w:val="none" w:sz="0" w:space="0" w:color="auto"/>
            <w:bottom w:val="none" w:sz="0" w:space="0" w:color="auto"/>
            <w:right w:val="none" w:sz="0" w:space="0" w:color="auto"/>
          </w:divBdr>
          <w:divsChild>
            <w:div w:id="786193973">
              <w:marLeft w:val="0"/>
              <w:marRight w:val="0"/>
              <w:marTop w:val="0"/>
              <w:marBottom w:val="0"/>
              <w:divBdr>
                <w:top w:val="none" w:sz="0" w:space="0" w:color="auto"/>
                <w:left w:val="none" w:sz="0" w:space="0" w:color="auto"/>
                <w:bottom w:val="none" w:sz="0" w:space="0" w:color="auto"/>
                <w:right w:val="none" w:sz="0" w:space="0" w:color="auto"/>
              </w:divBdr>
            </w:div>
          </w:divsChild>
        </w:div>
        <w:div w:id="1375689250">
          <w:marLeft w:val="0"/>
          <w:marRight w:val="0"/>
          <w:marTop w:val="0"/>
          <w:marBottom w:val="0"/>
          <w:divBdr>
            <w:top w:val="none" w:sz="0" w:space="0" w:color="auto"/>
            <w:left w:val="none" w:sz="0" w:space="0" w:color="auto"/>
            <w:bottom w:val="none" w:sz="0" w:space="0" w:color="auto"/>
            <w:right w:val="none" w:sz="0" w:space="0" w:color="auto"/>
          </w:divBdr>
          <w:divsChild>
            <w:div w:id="643631694">
              <w:marLeft w:val="0"/>
              <w:marRight w:val="0"/>
              <w:marTop w:val="0"/>
              <w:marBottom w:val="0"/>
              <w:divBdr>
                <w:top w:val="none" w:sz="0" w:space="0" w:color="auto"/>
                <w:left w:val="none" w:sz="0" w:space="0" w:color="auto"/>
                <w:bottom w:val="none" w:sz="0" w:space="0" w:color="auto"/>
                <w:right w:val="none" w:sz="0" w:space="0" w:color="auto"/>
              </w:divBdr>
            </w:div>
          </w:divsChild>
        </w:div>
        <w:div w:id="1156336418">
          <w:marLeft w:val="0"/>
          <w:marRight w:val="0"/>
          <w:marTop w:val="0"/>
          <w:marBottom w:val="0"/>
          <w:divBdr>
            <w:top w:val="none" w:sz="0" w:space="0" w:color="auto"/>
            <w:left w:val="none" w:sz="0" w:space="0" w:color="auto"/>
            <w:bottom w:val="none" w:sz="0" w:space="0" w:color="auto"/>
            <w:right w:val="none" w:sz="0" w:space="0" w:color="auto"/>
          </w:divBdr>
          <w:divsChild>
            <w:div w:id="1738047228">
              <w:marLeft w:val="0"/>
              <w:marRight w:val="0"/>
              <w:marTop w:val="0"/>
              <w:marBottom w:val="0"/>
              <w:divBdr>
                <w:top w:val="none" w:sz="0" w:space="0" w:color="auto"/>
                <w:left w:val="none" w:sz="0" w:space="0" w:color="auto"/>
                <w:bottom w:val="none" w:sz="0" w:space="0" w:color="auto"/>
                <w:right w:val="none" w:sz="0" w:space="0" w:color="auto"/>
              </w:divBdr>
            </w:div>
          </w:divsChild>
        </w:div>
        <w:div w:id="1629508321">
          <w:marLeft w:val="0"/>
          <w:marRight w:val="0"/>
          <w:marTop w:val="0"/>
          <w:marBottom w:val="0"/>
          <w:divBdr>
            <w:top w:val="none" w:sz="0" w:space="0" w:color="auto"/>
            <w:left w:val="none" w:sz="0" w:space="0" w:color="auto"/>
            <w:bottom w:val="none" w:sz="0" w:space="0" w:color="auto"/>
            <w:right w:val="none" w:sz="0" w:space="0" w:color="auto"/>
          </w:divBdr>
          <w:divsChild>
            <w:div w:id="20071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611">
      <w:bodyDiv w:val="1"/>
      <w:marLeft w:val="0"/>
      <w:marRight w:val="0"/>
      <w:marTop w:val="0"/>
      <w:marBottom w:val="0"/>
      <w:divBdr>
        <w:top w:val="none" w:sz="0" w:space="0" w:color="auto"/>
        <w:left w:val="none" w:sz="0" w:space="0" w:color="auto"/>
        <w:bottom w:val="none" w:sz="0" w:space="0" w:color="auto"/>
        <w:right w:val="none" w:sz="0" w:space="0" w:color="auto"/>
      </w:divBdr>
      <w:divsChild>
        <w:div w:id="772359661">
          <w:marLeft w:val="0"/>
          <w:marRight w:val="0"/>
          <w:marTop w:val="0"/>
          <w:marBottom w:val="0"/>
          <w:divBdr>
            <w:top w:val="none" w:sz="0" w:space="0" w:color="auto"/>
            <w:left w:val="none" w:sz="0" w:space="0" w:color="auto"/>
            <w:bottom w:val="none" w:sz="0" w:space="0" w:color="auto"/>
            <w:right w:val="none" w:sz="0" w:space="0" w:color="auto"/>
          </w:divBdr>
          <w:divsChild>
            <w:div w:id="145905426">
              <w:marLeft w:val="0"/>
              <w:marRight w:val="0"/>
              <w:marTop w:val="0"/>
              <w:marBottom w:val="0"/>
              <w:divBdr>
                <w:top w:val="none" w:sz="0" w:space="0" w:color="auto"/>
                <w:left w:val="none" w:sz="0" w:space="0" w:color="auto"/>
                <w:bottom w:val="none" w:sz="0" w:space="0" w:color="auto"/>
                <w:right w:val="none" w:sz="0" w:space="0" w:color="auto"/>
              </w:divBdr>
            </w:div>
            <w:div w:id="1616982653">
              <w:marLeft w:val="0"/>
              <w:marRight w:val="0"/>
              <w:marTop w:val="0"/>
              <w:marBottom w:val="0"/>
              <w:divBdr>
                <w:top w:val="none" w:sz="0" w:space="0" w:color="auto"/>
                <w:left w:val="none" w:sz="0" w:space="0" w:color="auto"/>
                <w:bottom w:val="none" w:sz="0" w:space="0" w:color="auto"/>
                <w:right w:val="none" w:sz="0" w:space="0" w:color="auto"/>
              </w:divBdr>
            </w:div>
            <w:div w:id="214239420">
              <w:marLeft w:val="0"/>
              <w:marRight w:val="0"/>
              <w:marTop w:val="0"/>
              <w:marBottom w:val="0"/>
              <w:divBdr>
                <w:top w:val="none" w:sz="0" w:space="0" w:color="auto"/>
                <w:left w:val="none" w:sz="0" w:space="0" w:color="auto"/>
                <w:bottom w:val="none" w:sz="0" w:space="0" w:color="auto"/>
                <w:right w:val="none" w:sz="0" w:space="0" w:color="auto"/>
              </w:divBdr>
              <w:divsChild>
                <w:div w:id="573206322">
                  <w:marLeft w:val="0"/>
                  <w:marRight w:val="0"/>
                  <w:marTop w:val="0"/>
                  <w:marBottom w:val="0"/>
                  <w:divBdr>
                    <w:top w:val="none" w:sz="0" w:space="0" w:color="auto"/>
                    <w:left w:val="none" w:sz="0" w:space="0" w:color="auto"/>
                    <w:bottom w:val="none" w:sz="0" w:space="0" w:color="auto"/>
                    <w:right w:val="none" w:sz="0" w:space="0" w:color="auto"/>
                  </w:divBdr>
                </w:div>
                <w:div w:id="2007779700">
                  <w:marLeft w:val="0"/>
                  <w:marRight w:val="0"/>
                  <w:marTop w:val="0"/>
                  <w:marBottom w:val="0"/>
                  <w:divBdr>
                    <w:top w:val="none" w:sz="0" w:space="0" w:color="auto"/>
                    <w:left w:val="none" w:sz="0" w:space="0" w:color="auto"/>
                    <w:bottom w:val="none" w:sz="0" w:space="0" w:color="auto"/>
                    <w:right w:val="none" w:sz="0" w:space="0" w:color="auto"/>
                  </w:divBdr>
                  <w:divsChild>
                    <w:div w:id="1744599989">
                      <w:marLeft w:val="0"/>
                      <w:marRight w:val="0"/>
                      <w:marTop w:val="0"/>
                      <w:marBottom w:val="0"/>
                      <w:divBdr>
                        <w:top w:val="none" w:sz="0" w:space="0" w:color="auto"/>
                        <w:left w:val="none" w:sz="0" w:space="0" w:color="auto"/>
                        <w:bottom w:val="none" w:sz="0" w:space="0" w:color="auto"/>
                        <w:right w:val="none" w:sz="0" w:space="0" w:color="auto"/>
                      </w:divBdr>
                    </w:div>
                  </w:divsChild>
                </w:div>
                <w:div w:id="17974375">
                  <w:marLeft w:val="0"/>
                  <w:marRight w:val="0"/>
                  <w:marTop w:val="0"/>
                  <w:marBottom w:val="0"/>
                  <w:divBdr>
                    <w:top w:val="none" w:sz="0" w:space="0" w:color="auto"/>
                    <w:left w:val="none" w:sz="0" w:space="0" w:color="auto"/>
                    <w:bottom w:val="none" w:sz="0" w:space="0" w:color="auto"/>
                    <w:right w:val="none" w:sz="0" w:space="0" w:color="auto"/>
                  </w:divBdr>
                  <w:divsChild>
                    <w:div w:id="154951877">
                      <w:marLeft w:val="0"/>
                      <w:marRight w:val="0"/>
                      <w:marTop w:val="0"/>
                      <w:marBottom w:val="0"/>
                      <w:divBdr>
                        <w:top w:val="none" w:sz="0" w:space="0" w:color="auto"/>
                        <w:left w:val="none" w:sz="0" w:space="0" w:color="auto"/>
                        <w:bottom w:val="none" w:sz="0" w:space="0" w:color="auto"/>
                        <w:right w:val="none" w:sz="0" w:space="0" w:color="auto"/>
                      </w:divBdr>
                    </w:div>
                  </w:divsChild>
                </w:div>
                <w:div w:id="1076825140">
                  <w:marLeft w:val="0"/>
                  <w:marRight w:val="0"/>
                  <w:marTop w:val="0"/>
                  <w:marBottom w:val="0"/>
                  <w:divBdr>
                    <w:top w:val="none" w:sz="0" w:space="0" w:color="auto"/>
                    <w:left w:val="none" w:sz="0" w:space="0" w:color="auto"/>
                    <w:bottom w:val="none" w:sz="0" w:space="0" w:color="auto"/>
                    <w:right w:val="none" w:sz="0" w:space="0" w:color="auto"/>
                  </w:divBdr>
                  <w:divsChild>
                    <w:div w:id="978921503">
                      <w:marLeft w:val="0"/>
                      <w:marRight w:val="0"/>
                      <w:marTop w:val="0"/>
                      <w:marBottom w:val="0"/>
                      <w:divBdr>
                        <w:top w:val="none" w:sz="0" w:space="0" w:color="auto"/>
                        <w:left w:val="none" w:sz="0" w:space="0" w:color="auto"/>
                        <w:bottom w:val="none" w:sz="0" w:space="0" w:color="auto"/>
                        <w:right w:val="none" w:sz="0" w:space="0" w:color="auto"/>
                      </w:divBdr>
                      <w:divsChild>
                        <w:div w:id="13608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9193">
                  <w:marLeft w:val="0"/>
                  <w:marRight w:val="0"/>
                  <w:marTop w:val="0"/>
                  <w:marBottom w:val="0"/>
                  <w:divBdr>
                    <w:top w:val="none" w:sz="0" w:space="0" w:color="auto"/>
                    <w:left w:val="none" w:sz="0" w:space="0" w:color="auto"/>
                    <w:bottom w:val="none" w:sz="0" w:space="0" w:color="auto"/>
                    <w:right w:val="none" w:sz="0" w:space="0" w:color="auto"/>
                  </w:divBdr>
                </w:div>
                <w:div w:id="438646695">
                  <w:marLeft w:val="0"/>
                  <w:marRight w:val="0"/>
                  <w:marTop w:val="0"/>
                  <w:marBottom w:val="0"/>
                  <w:divBdr>
                    <w:top w:val="none" w:sz="0" w:space="0" w:color="auto"/>
                    <w:left w:val="none" w:sz="0" w:space="0" w:color="auto"/>
                    <w:bottom w:val="none" w:sz="0" w:space="0" w:color="auto"/>
                    <w:right w:val="none" w:sz="0" w:space="0" w:color="auto"/>
                  </w:divBdr>
                  <w:divsChild>
                    <w:div w:id="2029795663">
                      <w:marLeft w:val="0"/>
                      <w:marRight w:val="0"/>
                      <w:marTop w:val="0"/>
                      <w:marBottom w:val="0"/>
                      <w:divBdr>
                        <w:top w:val="none" w:sz="0" w:space="0" w:color="auto"/>
                        <w:left w:val="none" w:sz="0" w:space="0" w:color="auto"/>
                        <w:bottom w:val="none" w:sz="0" w:space="0" w:color="auto"/>
                        <w:right w:val="none" w:sz="0" w:space="0" w:color="auto"/>
                      </w:divBdr>
                      <w:divsChild>
                        <w:div w:id="323975269">
                          <w:marLeft w:val="0"/>
                          <w:marRight w:val="0"/>
                          <w:marTop w:val="0"/>
                          <w:marBottom w:val="0"/>
                          <w:divBdr>
                            <w:top w:val="none" w:sz="0" w:space="0" w:color="auto"/>
                            <w:left w:val="none" w:sz="0" w:space="0" w:color="auto"/>
                            <w:bottom w:val="none" w:sz="0" w:space="0" w:color="auto"/>
                            <w:right w:val="none" w:sz="0" w:space="0" w:color="auto"/>
                          </w:divBdr>
                        </w:div>
                      </w:divsChild>
                    </w:div>
                    <w:div w:id="84786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69087">
              <w:marLeft w:val="0"/>
              <w:marRight w:val="0"/>
              <w:marTop w:val="0"/>
              <w:marBottom w:val="0"/>
              <w:divBdr>
                <w:top w:val="none" w:sz="0" w:space="0" w:color="auto"/>
                <w:left w:val="none" w:sz="0" w:space="0" w:color="auto"/>
                <w:bottom w:val="none" w:sz="0" w:space="0" w:color="auto"/>
                <w:right w:val="none" w:sz="0" w:space="0" w:color="auto"/>
              </w:divBdr>
              <w:divsChild>
                <w:div w:id="820268177">
                  <w:marLeft w:val="0"/>
                  <w:marRight w:val="0"/>
                  <w:marTop w:val="0"/>
                  <w:marBottom w:val="0"/>
                  <w:divBdr>
                    <w:top w:val="none" w:sz="0" w:space="0" w:color="auto"/>
                    <w:left w:val="none" w:sz="0" w:space="0" w:color="auto"/>
                    <w:bottom w:val="none" w:sz="0" w:space="0" w:color="auto"/>
                    <w:right w:val="none" w:sz="0" w:space="0" w:color="auto"/>
                  </w:divBdr>
                  <w:divsChild>
                    <w:div w:id="267666581">
                      <w:marLeft w:val="0"/>
                      <w:marRight w:val="0"/>
                      <w:marTop w:val="0"/>
                      <w:marBottom w:val="0"/>
                      <w:divBdr>
                        <w:top w:val="none" w:sz="0" w:space="0" w:color="auto"/>
                        <w:left w:val="none" w:sz="0" w:space="0" w:color="auto"/>
                        <w:bottom w:val="none" w:sz="0" w:space="0" w:color="auto"/>
                        <w:right w:val="none" w:sz="0" w:space="0" w:color="auto"/>
                      </w:divBdr>
                    </w:div>
                  </w:divsChild>
                </w:div>
                <w:div w:id="1309436024">
                  <w:marLeft w:val="0"/>
                  <w:marRight w:val="0"/>
                  <w:marTop w:val="0"/>
                  <w:marBottom w:val="0"/>
                  <w:divBdr>
                    <w:top w:val="none" w:sz="0" w:space="0" w:color="auto"/>
                    <w:left w:val="none" w:sz="0" w:space="0" w:color="auto"/>
                    <w:bottom w:val="none" w:sz="0" w:space="0" w:color="auto"/>
                    <w:right w:val="none" w:sz="0" w:space="0" w:color="auto"/>
                  </w:divBdr>
                  <w:divsChild>
                    <w:div w:id="17301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6186">
              <w:marLeft w:val="0"/>
              <w:marRight w:val="0"/>
              <w:marTop w:val="0"/>
              <w:marBottom w:val="0"/>
              <w:divBdr>
                <w:top w:val="none" w:sz="0" w:space="0" w:color="auto"/>
                <w:left w:val="none" w:sz="0" w:space="0" w:color="auto"/>
                <w:bottom w:val="none" w:sz="0" w:space="0" w:color="auto"/>
                <w:right w:val="none" w:sz="0" w:space="0" w:color="auto"/>
              </w:divBdr>
              <w:divsChild>
                <w:div w:id="1728339192">
                  <w:marLeft w:val="0"/>
                  <w:marRight w:val="0"/>
                  <w:marTop w:val="0"/>
                  <w:marBottom w:val="0"/>
                  <w:divBdr>
                    <w:top w:val="none" w:sz="0" w:space="0" w:color="auto"/>
                    <w:left w:val="none" w:sz="0" w:space="0" w:color="auto"/>
                    <w:bottom w:val="none" w:sz="0" w:space="0" w:color="auto"/>
                    <w:right w:val="none" w:sz="0" w:space="0" w:color="auto"/>
                  </w:divBdr>
                  <w:divsChild>
                    <w:div w:id="717821021">
                      <w:marLeft w:val="0"/>
                      <w:marRight w:val="0"/>
                      <w:marTop w:val="0"/>
                      <w:marBottom w:val="0"/>
                      <w:divBdr>
                        <w:top w:val="none" w:sz="0" w:space="0" w:color="auto"/>
                        <w:left w:val="none" w:sz="0" w:space="0" w:color="auto"/>
                        <w:bottom w:val="none" w:sz="0" w:space="0" w:color="auto"/>
                        <w:right w:val="none" w:sz="0" w:space="0" w:color="auto"/>
                      </w:divBdr>
                      <w:divsChild>
                        <w:div w:id="1805074090">
                          <w:marLeft w:val="0"/>
                          <w:marRight w:val="0"/>
                          <w:marTop w:val="0"/>
                          <w:marBottom w:val="0"/>
                          <w:divBdr>
                            <w:top w:val="none" w:sz="0" w:space="0" w:color="auto"/>
                            <w:left w:val="none" w:sz="0" w:space="0" w:color="auto"/>
                            <w:bottom w:val="none" w:sz="0" w:space="0" w:color="auto"/>
                            <w:right w:val="none" w:sz="0" w:space="0" w:color="auto"/>
                          </w:divBdr>
                        </w:div>
                      </w:divsChild>
                    </w:div>
                    <w:div w:id="1090539421">
                      <w:marLeft w:val="0"/>
                      <w:marRight w:val="0"/>
                      <w:marTop w:val="0"/>
                      <w:marBottom w:val="0"/>
                      <w:divBdr>
                        <w:top w:val="none" w:sz="0" w:space="0" w:color="auto"/>
                        <w:left w:val="none" w:sz="0" w:space="0" w:color="auto"/>
                        <w:bottom w:val="none" w:sz="0" w:space="0" w:color="auto"/>
                        <w:right w:val="none" w:sz="0" w:space="0" w:color="auto"/>
                      </w:divBdr>
                      <w:divsChild>
                        <w:div w:id="80723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39760">
                  <w:marLeft w:val="0"/>
                  <w:marRight w:val="0"/>
                  <w:marTop w:val="0"/>
                  <w:marBottom w:val="0"/>
                  <w:divBdr>
                    <w:top w:val="none" w:sz="0" w:space="0" w:color="auto"/>
                    <w:left w:val="none" w:sz="0" w:space="0" w:color="auto"/>
                    <w:bottom w:val="none" w:sz="0" w:space="0" w:color="auto"/>
                    <w:right w:val="none" w:sz="0" w:space="0" w:color="auto"/>
                  </w:divBdr>
                  <w:divsChild>
                    <w:div w:id="2108114114">
                      <w:marLeft w:val="0"/>
                      <w:marRight w:val="0"/>
                      <w:marTop w:val="0"/>
                      <w:marBottom w:val="0"/>
                      <w:divBdr>
                        <w:top w:val="none" w:sz="0" w:space="0" w:color="auto"/>
                        <w:left w:val="none" w:sz="0" w:space="0" w:color="auto"/>
                        <w:bottom w:val="none" w:sz="0" w:space="0" w:color="auto"/>
                        <w:right w:val="none" w:sz="0" w:space="0" w:color="auto"/>
                      </w:divBdr>
                      <w:divsChild>
                        <w:div w:id="923606602">
                          <w:marLeft w:val="0"/>
                          <w:marRight w:val="0"/>
                          <w:marTop w:val="0"/>
                          <w:marBottom w:val="0"/>
                          <w:divBdr>
                            <w:top w:val="none" w:sz="0" w:space="0" w:color="auto"/>
                            <w:left w:val="none" w:sz="0" w:space="0" w:color="auto"/>
                            <w:bottom w:val="none" w:sz="0" w:space="0" w:color="auto"/>
                            <w:right w:val="none" w:sz="0" w:space="0" w:color="auto"/>
                          </w:divBdr>
                        </w:div>
                      </w:divsChild>
                    </w:div>
                    <w:div w:id="1888029352">
                      <w:marLeft w:val="0"/>
                      <w:marRight w:val="0"/>
                      <w:marTop w:val="0"/>
                      <w:marBottom w:val="0"/>
                      <w:divBdr>
                        <w:top w:val="none" w:sz="0" w:space="0" w:color="auto"/>
                        <w:left w:val="none" w:sz="0" w:space="0" w:color="auto"/>
                        <w:bottom w:val="none" w:sz="0" w:space="0" w:color="auto"/>
                        <w:right w:val="none" w:sz="0" w:space="0" w:color="auto"/>
                      </w:divBdr>
                      <w:divsChild>
                        <w:div w:id="1393692285">
                          <w:marLeft w:val="0"/>
                          <w:marRight w:val="0"/>
                          <w:marTop w:val="0"/>
                          <w:marBottom w:val="0"/>
                          <w:divBdr>
                            <w:top w:val="none" w:sz="0" w:space="0" w:color="auto"/>
                            <w:left w:val="none" w:sz="0" w:space="0" w:color="auto"/>
                            <w:bottom w:val="none" w:sz="0" w:space="0" w:color="auto"/>
                            <w:right w:val="none" w:sz="0" w:space="0" w:color="auto"/>
                          </w:divBdr>
                        </w:div>
                      </w:divsChild>
                    </w:div>
                    <w:div w:id="1229726116">
                      <w:marLeft w:val="0"/>
                      <w:marRight w:val="0"/>
                      <w:marTop w:val="0"/>
                      <w:marBottom w:val="0"/>
                      <w:divBdr>
                        <w:top w:val="none" w:sz="0" w:space="0" w:color="auto"/>
                        <w:left w:val="none" w:sz="0" w:space="0" w:color="auto"/>
                        <w:bottom w:val="none" w:sz="0" w:space="0" w:color="auto"/>
                        <w:right w:val="none" w:sz="0" w:space="0" w:color="auto"/>
                      </w:divBdr>
                      <w:divsChild>
                        <w:div w:id="1385643087">
                          <w:marLeft w:val="0"/>
                          <w:marRight w:val="0"/>
                          <w:marTop w:val="0"/>
                          <w:marBottom w:val="0"/>
                          <w:divBdr>
                            <w:top w:val="none" w:sz="0" w:space="0" w:color="auto"/>
                            <w:left w:val="none" w:sz="0" w:space="0" w:color="auto"/>
                            <w:bottom w:val="none" w:sz="0" w:space="0" w:color="auto"/>
                            <w:right w:val="none" w:sz="0" w:space="0" w:color="auto"/>
                          </w:divBdr>
                        </w:div>
                      </w:divsChild>
                    </w:div>
                    <w:div w:id="1738047030">
                      <w:marLeft w:val="0"/>
                      <w:marRight w:val="0"/>
                      <w:marTop w:val="0"/>
                      <w:marBottom w:val="0"/>
                      <w:divBdr>
                        <w:top w:val="none" w:sz="0" w:space="0" w:color="auto"/>
                        <w:left w:val="none" w:sz="0" w:space="0" w:color="auto"/>
                        <w:bottom w:val="none" w:sz="0" w:space="0" w:color="auto"/>
                        <w:right w:val="none" w:sz="0" w:space="0" w:color="auto"/>
                      </w:divBdr>
                      <w:divsChild>
                        <w:div w:id="21328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096">
              <w:marLeft w:val="0"/>
              <w:marRight w:val="0"/>
              <w:marTop w:val="0"/>
              <w:marBottom w:val="0"/>
              <w:divBdr>
                <w:top w:val="none" w:sz="0" w:space="0" w:color="auto"/>
                <w:left w:val="none" w:sz="0" w:space="0" w:color="auto"/>
                <w:bottom w:val="none" w:sz="0" w:space="0" w:color="auto"/>
                <w:right w:val="none" w:sz="0" w:space="0" w:color="auto"/>
              </w:divBdr>
              <w:divsChild>
                <w:div w:id="2096659340">
                  <w:marLeft w:val="0"/>
                  <w:marRight w:val="0"/>
                  <w:marTop w:val="0"/>
                  <w:marBottom w:val="0"/>
                  <w:divBdr>
                    <w:top w:val="none" w:sz="0" w:space="0" w:color="auto"/>
                    <w:left w:val="none" w:sz="0" w:space="0" w:color="auto"/>
                    <w:bottom w:val="none" w:sz="0" w:space="0" w:color="auto"/>
                    <w:right w:val="none" w:sz="0" w:space="0" w:color="auto"/>
                  </w:divBdr>
                  <w:divsChild>
                    <w:div w:id="960308340">
                      <w:marLeft w:val="0"/>
                      <w:marRight w:val="0"/>
                      <w:marTop w:val="0"/>
                      <w:marBottom w:val="0"/>
                      <w:divBdr>
                        <w:top w:val="none" w:sz="0" w:space="0" w:color="auto"/>
                        <w:left w:val="none" w:sz="0" w:space="0" w:color="auto"/>
                        <w:bottom w:val="none" w:sz="0" w:space="0" w:color="auto"/>
                        <w:right w:val="none" w:sz="0" w:space="0" w:color="auto"/>
                      </w:divBdr>
                    </w:div>
                  </w:divsChild>
                </w:div>
                <w:div w:id="736317575">
                  <w:marLeft w:val="0"/>
                  <w:marRight w:val="0"/>
                  <w:marTop w:val="0"/>
                  <w:marBottom w:val="0"/>
                  <w:divBdr>
                    <w:top w:val="none" w:sz="0" w:space="0" w:color="auto"/>
                    <w:left w:val="none" w:sz="0" w:space="0" w:color="auto"/>
                    <w:bottom w:val="none" w:sz="0" w:space="0" w:color="auto"/>
                    <w:right w:val="none" w:sz="0" w:space="0" w:color="auto"/>
                  </w:divBdr>
                  <w:divsChild>
                    <w:div w:id="17563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0015">
              <w:marLeft w:val="0"/>
              <w:marRight w:val="0"/>
              <w:marTop w:val="0"/>
              <w:marBottom w:val="0"/>
              <w:divBdr>
                <w:top w:val="none" w:sz="0" w:space="0" w:color="auto"/>
                <w:left w:val="none" w:sz="0" w:space="0" w:color="auto"/>
                <w:bottom w:val="none" w:sz="0" w:space="0" w:color="auto"/>
                <w:right w:val="none" w:sz="0" w:space="0" w:color="auto"/>
              </w:divBdr>
              <w:divsChild>
                <w:div w:id="1283151434">
                  <w:marLeft w:val="0"/>
                  <w:marRight w:val="0"/>
                  <w:marTop w:val="0"/>
                  <w:marBottom w:val="0"/>
                  <w:divBdr>
                    <w:top w:val="none" w:sz="0" w:space="0" w:color="auto"/>
                    <w:left w:val="none" w:sz="0" w:space="0" w:color="auto"/>
                    <w:bottom w:val="none" w:sz="0" w:space="0" w:color="auto"/>
                    <w:right w:val="none" w:sz="0" w:space="0" w:color="auto"/>
                  </w:divBdr>
                  <w:divsChild>
                    <w:div w:id="1300501093">
                      <w:marLeft w:val="0"/>
                      <w:marRight w:val="0"/>
                      <w:marTop w:val="0"/>
                      <w:marBottom w:val="0"/>
                      <w:divBdr>
                        <w:top w:val="none" w:sz="0" w:space="0" w:color="auto"/>
                        <w:left w:val="none" w:sz="0" w:space="0" w:color="auto"/>
                        <w:bottom w:val="none" w:sz="0" w:space="0" w:color="auto"/>
                        <w:right w:val="none" w:sz="0" w:space="0" w:color="auto"/>
                      </w:divBdr>
                    </w:div>
                  </w:divsChild>
                </w:div>
                <w:div w:id="568539158">
                  <w:marLeft w:val="0"/>
                  <w:marRight w:val="0"/>
                  <w:marTop w:val="0"/>
                  <w:marBottom w:val="0"/>
                  <w:divBdr>
                    <w:top w:val="none" w:sz="0" w:space="0" w:color="auto"/>
                    <w:left w:val="none" w:sz="0" w:space="0" w:color="auto"/>
                    <w:bottom w:val="none" w:sz="0" w:space="0" w:color="auto"/>
                    <w:right w:val="none" w:sz="0" w:space="0" w:color="auto"/>
                  </w:divBdr>
                  <w:divsChild>
                    <w:div w:id="81806301">
                      <w:marLeft w:val="0"/>
                      <w:marRight w:val="0"/>
                      <w:marTop w:val="0"/>
                      <w:marBottom w:val="0"/>
                      <w:divBdr>
                        <w:top w:val="none" w:sz="0" w:space="0" w:color="auto"/>
                        <w:left w:val="none" w:sz="0" w:space="0" w:color="auto"/>
                        <w:bottom w:val="none" w:sz="0" w:space="0" w:color="auto"/>
                        <w:right w:val="none" w:sz="0" w:space="0" w:color="auto"/>
                      </w:divBdr>
                    </w:div>
                  </w:divsChild>
                </w:div>
                <w:div w:id="881017511">
                  <w:marLeft w:val="0"/>
                  <w:marRight w:val="0"/>
                  <w:marTop w:val="0"/>
                  <w:marBottom w:val="0"/>
                  <w:divBdr>
                    <w:top w:val="none" w:sz="0" w:space="0" w:color="auto"/>
                    <w:left w:val="none" w:sz="0" w:space="0" w:color="auto"/>
                    <w:bottom w:val="none" w:sz="0" w:space="0" w:color="auto"/>
                    <w:right w:val="none" w:sz="0" w:space="0" w:color="auto"/>
                  </w:divBdr>
                </w:div>
                <w:div w:id="159346138">
                  <w:marLeft w:val="0"/>
                  <w:marRight w:val="0"/>
                  <w:marTop w:val="0"/>
                  <w:marBottom w:val="0"/>
                  <w:divBdr>
                    <w:top w:val="none" w:sz="0" w:space="0" w:color="auto"/>
                    <w:left w:val="none" w:sz="0" w:space="0" w:color="auto"/>
                    <w:bottom w:val="none" w:sz="0" w:space="0" w:color="auto"/>
                    <w:right w:val="none" w:sz="0" w:space="0" w:color="auto"/>
                  </w:divBdr>
                  <w:divsChild>
                    <w:div w:id="700588168">
                      <w:marLeft w:val="0"/>
                      <w:marRight w:val="0"/>
                      <w:marTop w:val="0"/>
                      <w:marBottom w:val="0"/>
                      <w:divBdr>
                        <w:top w:val="none" w:sz="0" w:space="0" w:color="auto"/>
                        <w:left w:val="none" w:sz="0" w:space="0" w:color="auto"/>
                        <w:bottom w:val="none" w:sz="0" w:space="0" w:color="auto"/>
                        <w:right w:val="none" w:sz="0" w:space="0" w:color="auto"/>
                      </w:divBdr>
                    </w:div>
                  </w:divsChild>
                </w:div>
                <w:div w:id="496772993">
                  <w:marLeft w:val="0"/>
                  <w:marRight w:val="0"/>
                  <w:marTop w:val="0"/>
                  <w:marBottom w:val="0"/>
                  <w:divBdr>
                    <w:top w:val="none" w:sz="0" w:space="0" w:color="auto"/>
                    <w:left w:val="none" w:sz="0" w:space="0" w:color="auto"/>
                    <w:bottom w:val="none" w:sz="0" w:space="0" w:color="auto"/>
                    <w:right w:val="none" w:sz="0" w:space="0" w:color="auto"/>
                  </w:divBdr>
                </w:div>
              </w:divsChild>
            </w:div>
            <w:div w:id="1293755579">
              <w:marLeft w:val="0"/>
              <w:marRight w:val="0"/>
              <w:marTop w:val="0"/>
              <w:marBottom w:val="0"/>
              <w:divBdr>
                <w:top w:val="none" w:sz="0" w:space="0" w:color="auto"/>
                <w:left w:val="none" w:sz="0" w:space="0" w:color="auto"/>
                <w:bottom w:val="none" w:sz="0" w:space="0" w:color="auto"/>
                <w:right w:val="none" w:sz="0" w:space="0" w:color="auto"/>
              </w:divBdr>
            </w:div>
            <w:div w:id="1114204505">
              <w:marLeft w:val="0"/>
              <w:marRight w:val="0"/>
              <w:marTop w:val="0"/>
              <w:marBottom w:val="0"/>
              <w:divBdr>
                <w:top w:val="none" w:sz="0" w:space="0" w:color="auto"/>
                <w:left w:val="none" w:sz="0" w:space="0" w:color="auto"/>
                <w:bottom w:val="none" w:sz="0" w:space="0" w:color="auto"/>
                <w:right w:val="none" w:sz="0" w:space="0" w:color="auto"/>
              </w:divBdr>
              <w:divsChild>
                <w:div w:id="777676589">
                  <w:marLeft w:val="0"/>
                  <w:marRight w:val="0"/>
                  <w:marTop w:val="0"/>
                  <w:marBottom w:val="0"/>
                  <w:divBdr>
                    <w:top w:val="none" w:sz="0" w:space="0" w:color="auto"/>
                    <w:left w:val="none" w:sz="0" w:space="0" w:color="auto"/>
                    <w:bottom w:val="none" w:sz="0" w:space="0" w:color="auto"/>
                    <w:right w:val="none" w:sz="0" w:space="0" w:color="auto"/>
                  </w:divBdr>
                  <w:divsChild>
                    <w:div w:id="967206633">
                      <w:marLeft w:val="0"/>
                      <w:marRight w:val="0"/>
                      <w:marTop w:val="0"/>
                      <w:marBottom w:val="0"/>
                      <w:divBdr>
                        <w:top w:val="none" w:sz="0" w:space="0" w:color="auto"/>
                        <w:left w:val="none" w:sz="0" w:space="0" w:color="auto"/>
                        <w:bottom w:val="none" w:sz="0" w:space="0" w:color="auto"/>
                        <w:right w:val="none" w:sz="0" w:space="0" w:color="auto"/>
                      </w:divBdr>
                    </w:div>
                  </w:divsChild>
                </w:div>
                <w:div w:id="1309169034">
                  <w:marLeft w:val="0"/>
                  <w:marRight w:val="0"/>
                  <w:marTop w:val="0"/>
                  <w:marBottom w:val="0"/>
                  <w:divBdr>
                    <w:top w:val="none" w:sz="0" w:space="0" w:color="auto"/>
                    <w:left w:val="none" w:sz="0" w:space="0" w:color="auto"/>
                    <w:bottom w:val="none" w:sz="0" w:space="0" w:color="auto"/>
                    <w:right w:val="none" w:sz="0" w:space="0" w:color="auto"/>
                  </w:divBdr>
                  <w:divsChild>
                    <w:div w:id="1406026996">
                      <w:marLeft w:val="0"/>
                      <w:marRight w:val="0"/>
                      <w:marTop w:val="0"/>
                      <w:marBottom w:val="0"/>
                      <w:divBdr>
                        <w:top w:val="none" w:sz="0" w:space="0" w:color="auto"/>
                        <w:left w:val="none" w:sz="0" w:space="0" w:color="auto"/>
                        <w:bottom w:val="none" w:sz="0" w:space="0" w:color="auto"/>
                        <w:right w:val="none" w:sz="0" w:space="0" w:color="auto"/>
                      </w:divBdr>
                    </w:div>
                  </w:divsChild>
                </w:div>
                <w:div w:id="898980902">
                  <w:marLeft w:val="0"/>
                  <w:marRight w:val="0"/>
                  <w:marTop w:val="0"/>
                  <w:marBottom w:val="0"/>
                  <w:divBdr>
                    <w:top w:val="none" w:sz="0" w:space="0" w:color="auto"/>
                    <w:left w:val="none" w:sz="0" w:space="0" w:color="auto"/>
                    <w:bottom w:val="none" w:sz="0" w:space="0" w:color="auto"/>
                    <w:right w:val="none" w:sz="0" w:space="0" w:color="auto"/>
                  </w:divBdr>
                  <w:divsChild>
                    <w:div w:id="856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391894">
      <w:bodyDiv w:val="1"/>
      <w:marLeft w:val="0"/>
      <w:marRight w:val="0"/>
      <w:marTop w:val="0"/>
      <w:marBottom w:val="0"/>
      <w:divBdr>
        <w:top w:val="none" w:sz="0" w:space="0" w:color="auto"/>
        <w:left w:val="none" w:sz="0" w:space="0" w:color="auto"/>
        <w:bottom w:val="none" w:sz="0" w:space="0" w:color="auto"/>
        <w:right w:val="none" w:sz="0" w:space="0" w:color="auto"/>
      </w:divBdr>
      <w:divsChild>
        <w:div w:id="1042023821">
          <w:marLeft w:val="0"/>
          <w:marRight w:val="0"/>
          <w:marTop w:val="0"/>
          <w:marBottom w:val="0"/>
          <w:divBdr>
            <w:top w:val="none" w:sz="0" w:space="0" w:color="auto"/>
            <w:left w:val="none" w:sz="0" w:space="0" w:color="auto"/>
            <w:bottom w:val="none" w:sz="0" w:space="0" w:color="auto"/>
            <w:right w:val="none" w:sz="0" w:space="0" w:color="auto"/>
          </w:divBdr>
          <w:divsChild>
            <w:div w:id="2018774198">
              <w:marLeft w:val="0"/>
              <w:marRight w:val="0"/>
              <w:marTop w:val="0"/>
              <w:marBottom w:val="0"/>
              <w:divBdr>
                <w:top w:val="none" w:sz="0" w:space="0" w:color="auto"/>
                <w:left w:val="none" w:sz="0" w:space="0" w:color="auto"/>
                <w:bottom w:val="none" w:sz="0" w:space="0" w:color="auto"/>
                <w:right w:val="none" w:sz="0" w:space="0" w:color="auto"/>
              </w:divBdr>
            </w:div>
          </w:divsChild>
        </w:div>
        <w:div w:id="531069258">
          <w:marLeft w:val="0"/>
          <w:marRight w:val="0"/>
          <w:marTop w:val="0"/>
          <w:marBottom w:val="0"/>
          <w:divBdr>
            <w:top w:val="none" w:sz="0" w:space="0" w:color="auto"/>
            <w:left w:val="none" w:sz="0" w:space="0" w:color="auto"/>
            <w:bottom w:val="none" w:sz="0" w:space="0" w:color="auto"/>
            <w:right w:val="none" w:sz="0" w:space="0" w:color="auto"/>
          </w:divBdr>
          <w:divsChild>
            <w:div w:id="1973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0846">
      <w:bodyDiv w:val="1"/>
      <w:marLeft w:val="0"/>
      <w:marRight w:val="0"/>
      <w:marTop w:val="0"/>
      <w:marBottom w:val="0"/>
      <w:divBdr>
        <w:top w:val="none" w:sz="0" w:space="0" w:color="auto"/>
        <w:left w:val="none" w:sz="0" w:space="0" w:color="auto"/>
        <w:bottom w:val="none" w:sz="0" w:space="0" w:color="auto"/>
        <w:right w:val="none" w:sz="0" w:space="0" w:color="auto"/>
      </w:divBdr>
      <w:divsChild>
        <w:div w:id="362831353">
          <w:marLeft w:val="0"/>
          <w:marRight w:val="0"/>
          <w:marTop w:val="0"/>
          <w:marBottom w:val="0"/>
          <w:divBdr>
            <w:top w:val="none" w:sz="0" w:space="0" w:color="auto"/>
            <w:left w:val="none" w:sz="0" w:space="0" w:color="auto"/>
            <w:bottom w:val="none" w:sz="0" w:space="0" w:color="auto"/>
            <w:right w:val="none" w:sz="0" w:space="0" w:color="auto"/>
          </w:divBdr>
          <w:divsChild>
            <w:div w:id="842086230">
              <w:marLeft w:val="0"/>
              <w:marRight w:val="0"/>
              <w:marTop w:val="0"/>
              <w:marBottom w:val="0"/>
              <w:divBdr>
                <w:top w:val="none" w:sz="0" w:space="0" w:color="auto"/>
                <w:left w:val="none" w:sz="0" w:space="0" w:color="auto"/>
                <w:bottom w:val="none" w:sz="0" w:space="0" w:color="auto"/>
                <w:right w:val="none" w:sz="0" w:space="0" w:color="auto"/>
              </w:divBdr>
            </w:div>
            <w:div w:id="1677732801">
              <w:marLeft w:val="0"/>
              <w:marRight w:val="0"/>
              <w:marTop w:val="0"/>
              <w:marBottom w:val="0"/>
              <w:divBdr>
                <w:top w:val="none" w:sz="0" w:space="0" w:color="auto"/>
                <w:left w:val="none" w:sz="0" w:space="0" w:color="auto"/>
                <w:bottom w:val="none" w:sz="0" w:space="0" w:color="auto"/>
                <w:right w:val="none" w:sz="0" w:space="0" w:color="auto"/>
              </w:divBdr>
              <w:divsChild>
                <w:div w:id="219094948">
                  <w:marLeft w:val="0"/>
                  <w:marRight w:val="0"/>
                  <w:marTop w:val="0"/>
                  <w:marBottom w:val="0"/>
                  <w:divBdr>
                    <w:top w:val="none" w:sz="0" w:space="0" w:color="auto"/>
                    <w:left w:val="none" w:sz="0" w:space="0" w:color="auto"/>
                    <w:bottom w:val="none" w:sz="0" w:space="0" w:color="auto"/>
                    <w:right w:val="none" w:sz="0" w:space="0" w:color="auto"/>
                  </w:divBdr>
                </w:div>
              </w:divsChild>
            </w:div>
            <w:div w:id="322003455">
              <w:marLeft w:val="0"/>
              <w:marRight w:val="0"/>
              <w:marTop w:val="0"/>
              <w:marBottom w:val="0"/>
              <w:divBdr>
                <w:top w:val="none" w:sz="0" w:space="0" w:color="auto"/>
                <w:left w:val="none" w:sz="0" w:space="0" w:color="auto"/>
                <w:bottom w:val="none" w:sz="0" w:space="0" w:color="auto"/>
                <w:right w:val="none" w:sz="0" w:space="0" w:color="auto"/>
              </w:divBdr>
              <w:divsChild>
                <w:div w:id="804005604">
                  <w:marLeft w:val="0"/>
                  <w:marRight w:val="0"/>
                  <w:marTop w:val="0"/>
                  <w:marBottom w:val="0"/>
                  <w:divBdr>
                    <w:top w:val="none" w:sz="0" w:space="0" w:color="auto"/>
                    <w:left w:val="none" w:sz="0" w:space="0" w:color="auto"/>
                    <w:bottom w:val="none" w:sz="0" w:space="0" w:color="auto"/>
                    <w:right w:val="none" w:sz="0" w:space="0" w:color="auto"/>
                  </w:divBdr>
                </w:div>
              </w:divsChild>
            </w:div>
            <w:div w:id="1891189391">
              <w:marLeft w:val="0"/>
              <w:marRight w:val="0"/>
              <w:marTop w:val="0"/>
              <w:marBottom w:val="0"/>
              <w:divBdr>
                <w:top w:val="none" w:sz="0" w:space="0" w:color="auto"/>
                <w:left w:val="none" w:sz="0" w:space="0" w:color="auto"/>
                <w:bottom w:val="none" w:sz="0" w:space="0" w:color="auto"/>
                <w:right w:val="none" w:sz="0" w:space="0" w:color="auto"/>
              </w:divBdr>
              <w:divsChild>
                <w:div w:id="1417557461">
                  <w:marLeft w:val="0"/>
                  <w:marRight w:val="0"/>
                  <w:marTop w:val="0"/>
                  <w:marBottom w:val="0"/>
                  <w:divBdr>
                    <w:top w:val="none" w:sz="0" w:space="0" w:color="auto"/>
                    <w:left w:val="none" w:sz="0" w:space="0" w:color="auto"/>
                    <w:bottom w:val="none" w:sz="0" w:space="0" w:color="auto"/>
                    <w:right w:val="none" w:sz="0" w:space="0" w:color="auto"/>
                  </w:divBdr>
                  <w:divsChild>
                    <w:div w:id="179927488">
                      <w:marLeft w:val="0"/>
                      <w:marRight w:val="0"/>
                      <w:marTop w:val="0"/>
                      <w:marBottom w:val="0"/>
                      <w:divBdr>
                        <w:top w:val="none" w:sz="0" w:space="0" w:color="auto"/>
                        <w:left w:val="none" w:sz="0" w:space="0" w:color="auto"/>
                        <w:bottom w:val="none" w:sz="0" w:space="0" w:color="auto"/>
                        <w:right w:val="none" w:sz="0" w:space="0" w:color="auto"/>
                      </w:divBdr>
                    </w:div>
                  </w:divsChild>
                </w:div>
                <w:div w:id="579944388">
                  <w:marLeft w:val="0"/>
                  <w:marRight w:val="0"/>
                  <w:marTop w:val="0"/>
                  <w:marBottom w:val="0"/>
                  <w:divBdr>
                    <w:top w:val="none" w:sz="0" w:space="0" w:color="auto"/>
                    <w:left w:val="none" w:sz="0" w:space="0" w:color="auto"/>
                    <w:bottom w:val="none" w:sz="0" w:space="0" w:color="auto"/>
                    <w:right w:val="none" w:sz="0" w:space="0" w:color="auto"/>
                  </w:divBdr>
                  <w:divsChild>
                    <w:div w:id="1077048159">
                      <w:marLeft w:val="0"/>
                      <w:marRight w:val="0"/>
                      <w:marTop w:val="0"/>
                      <w:marBottom w:val="0"/>
                      <w:divBdr>
                        <w:top w:val="none" w:sz="0" w:space="0" w:color="auto"/>
                        <w:left w:val="none" w:sz="0" w:space="0" w:color="auto"/>
                        <w:bottom w:val="none" w:sz="0" w:space="0" w:color="auto"/>
                        <w:right w:val="none" w:sz="0" w:space="0" w:color="auto"/>
                      </w:divBdr>
                    </w:div>
                  </w:divsChild>
                </w:div>
                <w:div w:id="1059285156">
                  <w:marLeft w:val="0"/>
                  <w:marRight w:val="0"/>
                  <w:marTop w:val="0"/>
                  <w:marBottom w:val="0"/>
                  <w:divBdr>
                    <w:top w:val="none" w:sz="0" w:space="0" w:color="auto"/>
                    <w:left w:val="none" w:sz="0" w:space="0" w:color="auto"/>
                    <w:bottom w:val="none" w:sz="0" w:space="0" w:color="auto"/>
                    <w:right w:val="none" w:sz="0" w:space="0" w:color="auto"/>
                  </w:divBdr>
                  <w:divsChild>
                    <w:div w:id="27768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1174">
              <w:marLeft w:val="0"/>
              <w:marRight w:val="0"/>
              <w:marTop w:val="0"/>
              <w:marBottom w:val="0"/>
              <w:divBdr>
                <w:top w:val="none" w:sz="0" w:space="0" w:color="auto"/>
                <w:left w:val="none" w:sz="0" w:space="0" w:color="auto"/>
                <w:bottom w:val="none" w:sz="0" w:space="0" w:color="auto"/>
                <w:right w:val="none" w:sz="0" w:space="0" w:color="auto"/>
              </w:divBdr>
              <w:divsChild>
                <w:div w:id="835195166">
                  <w:marLeft w:val="0"/>
                  <w:marRight w:val="0"/>
                  <w:marTop w:val="0"/>
                  <w:marBottom w:val="0"/>
                  <w:divBdr>
                    <w:top w:val="none" w:sz="0" w:space="0" w:color="auto"/>
                    <w:left w:val="none" w:sz="0" w:space="0" w:color="auto"/>
                    <w:bottom w:val="none" w:sz="0" w:space="0" w:color="auto"/>
                    <w:right w:val="none" w:sz="0" w:space="0" w:color="auto"/>
                  </w:divBdr>
                  <w:divsChild>
                    <w:div w:id="2046438661">
                      <w:marLeft w:val="0"/>
                      <w:marRight w:val="0"/>
                      <w:marTop w:val="0"/>
                      <w:marBottom w:val="0"/>
                      <w:divBdr>
                        <w:top w:val="none" w:sz="0" w:space="0" w:color="auto"/>
                        <w:left w:val="none" w:sz="0" w:space="0" w:color="auto"/>
                        <w:bottom w:val="none" w:sz="0" w:space="0" w:color="auto"/>
                        <w:right w:val="none" w:sz="0" w:space="0" w:color="auto"/>
                      </w:divBdr>
                    </w:div>
                  </w:divsChild>
                </w:div>
                <w:div w:id="1210072257">
                  <w:marLeft w:val="0"/>
                  <w:marRight w:val="0"/>
                  <w:marTop w:val="0"/>
                  <w:marBottom w:val="0"/>
                  <w:divBdr>
                    <w:top w:val="none" w:sz="0" w:space="0" w:color="auto"/>
                    <w:left w:val="none" w:sz="0" w:space="0" w:color="auto"/>
                    <w:bottom w:val="none" w:sz="0" w:space="0" w:color="auto"/>
                    <w:right w:val="none" w:sz="0" w:space="0" w:color="auto"/>
                  </w:divBdr>
                  <w:divsChild>
                    <w:div w:id="943420983">
                      <w:marLeft w:val="0"/>
                      <w:marRight w:val="0"/>
                      <w:marTop w:val="0"/>
                      <w:marBottom w:val="0"/>
                      <w:divBdr>
                        <w:top w:val="none" w:sz="0" w:space="0" w:color="auto"/>
                        <w:left w:val="none" w:sz="0" w:space="0" w:color="auto"/>
                        <w:bottom w:val="none" w:sz="0" w:space="0" w:color="auto"/>
                        <w:right w:val="none" w:sz="0" w:space="0" w:color="auto"/>
                      </w:divBdr>
                    </w:div>
                  </w:divsChild>
                </w:div>
                <w:div w:id="157422580">
                  <w:marLeft w:val="0"/>
                  <w:marRight w:val="0"/>
                  <w:marTop w:val="0"/>
                  <w:marBottom w:val="0"/>
                  <w:divBdr>
                    <w:top w:val="none" w:sz="0" w:space="0" w:color="auto"/>
                    <w:left w:val="none" w:sz="0" w:space="0" w:color="auto"/>
                    <w:bottom w:val="none" w:sz="0" w:space="0" w:color="auto"/>
                    <w:right w:val="none" w:sz="0" w:space="0" w:color="auto"/>
                  </w:divBdr>
                  <w:divsChild>
                    <w:div w:id="1127893264">
                      <w:marLeft w:val="0"/>
                      <w:marRight w:val="0"/>
                      <w:marTop w:val="0"/>
                      <w:marBottom w:val="0"/>
                      <w:divBdr>
                        <w:top w:val="none" w:sz="0" w:space="0" w:color="auto"/>
                        <w:left w:val="none" w:sz="0" w:space="0" w:color="auto"/>
                        <w:bottom w:val="none" w:sz="0" w:space="0" w:color="auto"/>
                        <w:right w:val="none" w:sz="0" w:space="0" w:color="auto"/>
                      </w:divBdr>
                    </w:div>
                  </w:divsChild>
                </w:div>
                <w:div w:id="448279402">
                  <w:marLeft w:val="0"/>
                  <w:marRight w:val="0"/>
                  <w:marTop w:val="0"/>
                  <w:marBottom w:val="0"/>
                  <w:divBdr>
                    <w:top w:val="none" w:sz="0" w:space="0" w:color="auto"/>
                    <w:left w:val="none" w:sz="0" w:space="0" w:color="auto"/>
                    <w:bottom w:val="none" w:sz="0" w:space="0" w:color="auto"/>
                    <w:right w:val="none" w:sz="0" w:space="0" w:color="auto"/>
                  </w:divBdr>
                </w:div>
                <w:div w:id="1239437474">
                  <w:marLeft w:val="0"/>
                  <w:marRight w:val="0"/>
                  <w:marTop w:val="0"/>
                  <w:marBottom w:val="0"/>
                  <w:divBdr>
                    <w:top w:val="none" w:sz="0" w:space="0" w:color="auto"/>
                    <w:left w:val="none" w:sz="0" w:space="0" w:color="auto"/>
                    <w:bottom w:val="none" w:sz="0" w:space="0" w:color="auto"/>
                    <w:right w:val="none" w:sz="0" w:space="0" w:color="auto"/>
                  </w:divBdr>
                  <w:divsChild>
                    <w:div w:id="1541436736">
                      <w:marLeft w:val="0"/>
                      <w:marRight w:val="0"/>
                      <w:marTop w:val="0"/>
                      <w:marBottom w:val="0"/>
                      <w:divBdr>
                        <w:top w:val="none" w:sz="0" w:space="0" w:color="auto"/>
                        <w:left w:val="none" w:sz="0" w:space="0" w:color="auto"/>
                        <w:bottom w:val="none" w:sz="0" w:space="0" w:color="auto"/>
                        <w:right w:val="none" w:sz="0" w:space="0" w:color="auto"/>
                      </w:divBdr>
                    </w:div>
                  </w:divsChild>
                </w:div>
                <w:div w:id="18672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42850">
      <w:bodyDiv w:val="1"/>
      <w:marLeft w:val="0"/>
      <w:marRight w:val="0"/>
      <w:marTop w:val="0"/>
      <w:marBottom w:val="0"/>
      <w:divBdr>
        <w:top w:val="none" w:sz="0" w:space="0" w:color="auto"/>
        <w:left w:val="none" w:sz="0" w:space="0" w:color="auto"/>
        <w:bottom w:val="none" w:sz="0" w:space="0" w:color="auto"/>
        <w:right w:val="none" w:sz="0" w:space="0" w:color="auto"/>
      </w:divBdr>
      <w:divsChild>
        <w:div w:id="825902528">
          <w:marLeft w:val="0"/>
          <w:marRight w:val="0"/>
          <w:marTop w:val="0"/>
          <w:marBottom w:val="0"/>
          <w:divBdr>
            <w:top w:val="none" w:sz="0" w:space="0" w:color="auto"/>
            <w:left w:val="none" w:sz="0" w:space="0" w:color="auto"/>
            <w:bottom w:val="none" w:sz="0" w:space="0" w:color="auto"/>
            <w:right w:val="none" w:sz="0" w:space="0" w:color="auto"/>
          </w:divBdr>
        </w:div>
        <w:div w:id="1829247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09407-061D-45A6-AD4A-B82C4C210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2593</Words>
  <Characters>14785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Chauvin</dc:creator>
  <cp:lastModifiedBy>Prof Chauvin</cp:lastModifiedBy>
  <cp:revision>2</cp:revision>
  <cp:lastPrinted>2015-01-09T21:28:00Z</cp:lastPrinted>
  <dcterms:created xsi:type="dcterms:W3CDTF">2017-01-05T19:38:00Z</dcterms:created>
  <dcterms:modified xsi:type="dcterms:W3CDTF">2017-01-05T19:38:00Z</dcterms:modified>
</cp:coreProperties>
</file>