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  <w:r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 xml:space="preserve">Investments </w:t>
      </w:r>
      <w:proofErr w:type="gramStart"/>
      <w:r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In</w:t>
      </w:r>
      <w:proofErr w:type="gramEnd"/>
      <w:r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 xml:space="preserve"> Class Assignments Student Version Wild 22e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QS 15-3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Short-term equity investments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P1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On April 18, Riley Co. made a short-term investment in 300 common shares of XLT Co. The purchase price is $42 per share and the broker's fee is $250. The intent is to actively manage these shares for profit. On May 30, Riley Co. receives $1 per share from XLT in dividends. Prepare the April 18 and May 30 journal entries to record these transactions.</w:t>
      </w:r>
    </w:p>
    <w:p w:rsidR="00192879" w:rsidRPr="00192879" w:rsidRDefault="00192879" w:rsidP="0019287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auto"/>
          <w:sz w:val="14"/>
          <w:szCs w:val="14"/>
        </w:rPr>
      </w:pPr>
      <w:r w:rsidRPr="00192879">
        <w:rPr>
          <w:rFonts w:eastAsia="Times New Roman" w:cstheme="minorHAnsi"/>
          <w:color w:val="auto"/>
          <w:sz w:val="14"/>
          <w:szCs w:val="14"/>
        </w:rPr>
        <w:t>Page 644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QS 15-4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Recording trading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P1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 xml:space="preserve">Prepare </w:t>
      </w:r>
      <w:proofErr w:type="spellStart"/>
      <w:r w:rsidRPr="00192879">
        <w:rPr>
          <w:rFonts w:eastAsia="Times New Roman" w:cstheme="minorHAnsi"/>
          <w:color w:val="auto"/>
        </w:rPr>
        <w:t>Hertog</w:t>
      </w:r>
      <w:proofErr w:type="spellEnd"/>
      <w:r w:rsidRPr="00192879">
        <w:rPr>
          <w:rFonts w:eastAsia="Times New Roman" w:cstheme="minorHAnsi"/>
          <w:color w:val="auto"/>
        </w:rPr>
        <w:t xml:space="preserve"> Company's journal entries to reflect the following transactions for the current year.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52"/>
        <w:gridCol w:w="8584"/>
      </w:tblGrid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May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7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Purchases 200 shares of Kraft stock as a short-term investment in trading securities at a cost of $50 per share plus $300 in broker fees.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June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6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Sells 200 shares of its investment in Kraft stock at $56 per share. The broker’s commission on this sale is $150.</w:t>
            </w:r>
          </w:p>
        </w:tc>
      </w:tr>
    </w:tbl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QS 15-5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Multiyear fair value adjustments to trading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P1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Kitty Company began operations in 2014 and maintains short-term investments in trading securities. The year-end cost and fair values for its portfolio of these investments follow. Prepare journal entries to record each December 31 year-end fair value adjustment for these securities.</w:t>
      </w:r>
    </w:p>
    <w:p w:rsidR="00192879" w:rsidRPr="00192879" w:rsidRDefault="00192879" w:rsidP="00192879">
      <w:pPr>
        <w:spacing w:after="15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noProof/>
          <w:color w:val="auto"/>
          <w:sz w:val="18"/>
          <w:szCs w:val="18"/>
        </w:rPr>
        <w:drawing>
          <wp:inline distT="0" distB="0" distL="0" distR="0" wp14:anchorId="78073A8E" wp14:editId="485E63FA">
            <wp:extent cx="3633470" cy="1049655"/>
            <wp:effectExtent l="0" t="0" r="5080" b="0"/>
            <wp:docPr id="4" name="Picture 4" descr="A table shows fair value adjustment for trading secur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632877_001_151315c" descr="A table shows fair value adjustment for trading securiti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Exercise 15-2</w:t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Accounting for short-term trading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P1</w:t>
      </w:r>
    </w:p>
    <w:p w:rsidR="00EA7DE2" w:rsidRPr="00192879" w:rsidRDefault="00EA7DE2" w:rsidP="00EA7DE2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Prepare journal entries to record the following transactions involving the short-term securities investments of Duke Co., all of which occurred during year 2015.</w:t>
      </w:r>
    </w:p>
    <w:p w:rsidR="00EA7DE2" w:rsidRPr="00192879" w:rsidRDefault="00EA7DE2" w:rsidP="00EA7DE2">
      <w:pPr>
        <w:numPr>
          <w:ilvl w:val="0"/>
          <w:numId w:val="6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March 22, purchased 1,000 shares of RIP Company stock at $10 per share plus an $80 brokerage fee. These shares are categorized as trading securities.</w:t>
      </w:r>
    </w:p>
    <w:p w:rsidR="00EA7DE2" w:rsidRPr="00192879" w:rsidRDefault="00EA7DE2" w:rsidP="00EA7DE2">
      <w:pPr>
        <w:numPr>
          <w:ilvl w:val="0"/>
          <w:numId w:val="7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September 1, received a $1.00 per share cash dividend on the RIP Company stock purchased in transaction </w:t>
      </w:r>
      <w:r w:rsidRPr="00192879">
        <w:rPr>
          <w:rFonts w:eastAsia="Times New Roman" w:cstheme="minorHAnsi"/>
          <w:bCs/>
          <w:i/>
          <w:iCs/>
          <w:color w:val="auto"/>
        </w:rPr>
        <w:t>a</w:t>
      </w:r>
      <w:r w:rsidRPr="00192879">
        <w:rPr>
          <w:rFonts w:eastAsia="Times New Roman" w:cstheme="minorHAnsi"/>
          <w:bCs/>
          <w:color w:val="auto"/>
        </w:rPr>
        <w:t>.</w:t>
      </w:r>
    </w:p>
    <w:p w:rsidR="00EA7DE2" w:rsidRPr="00192879" w:rsidRDefault="00EA7DE2" w:rsidP="00EA7DE2">
      <w:pPr>
        <w:numPr>
          <w:ilvl w:val="0"/>
          <w:numId w:val="8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October 8, sold 500 shares of RIP Co. stock for $15 per share, less a $50 brokerage fee.</w:t>
      </w:r>
    </w:p>
    <w:p w:rsidR="00EA7DE2" w:rsidRPr="00192879" w:rsidRDefault="00EA7DE2" w:rsidP="00EA7DE2">
      <w:pPr>
        <w:spacing w:after="0" w:line="255" w:lineRule="atLeast"/>
        <w:ind w:left="795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(</w:t>
      </w:r>
      <w:proofErr w:type="gramStart"/>
      <w:r w:rsidRPr="00192879">
        <w:rPr>
          <w:rFonts w:eastAsia="Times New Roman" w:cstheme="minorHAnsi"/>
          <w:color w:val="auto"/>
        </w:rPr>
        <w:t>c</w:t>
      </w:r>
      <w:proofErr w:type="gramEnd"/>
      <w:r w:rsidRPr="00192879">
        <w:rPr>
          <w:rFonts w:eastAsia="Times New Roman" w:cstheme="minorHAnsi"/>
          <w:color w:val="auto"/>
        </w:rPr>
        <w:t>) Dr. Cash $7,450</w:t>
      </w:r>
    </w:p>
    <w:p w:rsidR="00EA7DE2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Exercise 15-3</w:t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Accounting for trading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P1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</w:p>
    <w:p w:rsidR="00EA7DE2" w:rsidRPr="00192879" w:rsidRDefault="00EA7DE2" w:rsidP="00EA7DE2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Brooks Co. purchases various investments in trading securities at a cost of $66,000 on December 27, 2015. (This is its first and only purchase of such securities.) At December 31, 2015, these securities had a fair value of $72,000.</w:t>
      </w:r>
    </w:p>
    <w:p w:rsidR="00EA7DE2" w:rsidRPr="00192879" w:rsidRDefault="00EA7DE2" w:rsidP="00EA7DE2">
      <w:pPr>
        <w:numPr>
          <w:ilvl w:val="0"/>
          <w:numId w:val="9"/>
        </w:numPr>
        <w:spacing w:after="0" w:line="255" w:lineRule="atLeast"/>
        <w:ind w:left="450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Prepare the December 31, 2015, year-end adjusting entry for the trading securities' portfolio.</w:t>
      </w:r>
    </w:p>
    <w:p w:rsidR="00EA7DE2" w:rsidRPr="00192879" w:rsidRDefault="00EA7DE2" w:rsidP="00EA7DE2">
      <w:pPr>
        <w:numPr>
          <w:ilvl w:val="0"/>
          <w:numId w:val="10"/>
        </w:numPr>
        <w:spacing w:after="0" w:line="255" w:lineRule="atLeast"/>
        <w:ind w:left="450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Explain how each account in the entry of part 1 is reported in financial statements.</w:t>
      </w:r>
    </w:p>
    <w:p w:rsidR="00EA7DE2" w:rsidRPr="00192879" w:rsidRDefault="00EA7DE2" w:rsidP="00EA7DE2">
      <w:pPr>
        <w:numPr>
          <w:ilvl w:val="0"/>
          <w:numId w:val="10"/>
        </w:numPr>
        <w:spacing w:after="0" w:line="255" w:lineRule="atLeast"/>
        <w:ind w:left="450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3. Prepare the January 3, 2016, entry when Brooks sells a portion of its trading securities (that had originally cost $33,000) for $35,000.</w:t>
      </w:r>
    </w:p>
    <w:p w:rsidR="00EA7DE2" w:rsidRPr="00192879" w:rsidRDefault="00EA7DE2" w:rsidP="00EA7DE2">
      <w:pPr>
        <w:spacing w:after="0" w:line="255" w:lineRule="atLeast"/>
        <w:rPr>
          <w:rFonts w:eastAsia="Times New Roman" w:cstheme="minorHAnsi"/>
          <w:color w:val="auto"/>
        </w:rPr>
      </w:pPr>
      <w:proofErr w:type="gramStart"/>
      <w:r w:rsidRPr="00192879">
        <w:rPr>
          <w:rFonts w:eastAsia="Times New Roman" w:cstheme="minorHAnsi"/>
          <w:bCs/>
          <w:color w:val="auto"/>
        </w:rPr>
        <w:t>Check</w:t>
      </w:r>
      <w:proofErr w:type="gramEnd"/>
      <w:r w:rsidRPr="00192879">
        <w:rPr>
          <w:rFonts w:eastAsia="Times New Roman" w:cstheme="minorHAnsi"/>
          <w:color w:val="auto"/>
        </w:rPr>
        <w:t> </w:t>
      </w:r>
      <w:r w:rsidRPr="00192879">
        <w:rPr>
          <w:rFonts w:eastAsia="Times New Roman" w:cstheme="minorHAnsi"/>
          <w:color w:val="auto"/>
        </w:rPr>
        <w:t> </w:t>
      </w:r>
      <w:r w:rsidRPr="00192879">
        <w:rPr>
          <w:rFonts w:eastAsia="Times New Roman" w:cstheme="minorHAnsi"/>
          <w:color w:val="auto"/>
        </w:rPr>
        <w:t>(3) Gain, $2,000</w:t>
      </w:r>
    </w:p>
    <w:p w:rsidR="00EA7DE2" w:rsidRDefault="00EA7DE2">
      <w:pPr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  <w:r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br w:type="page"/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lastRenderedPageBreak/>
        <w:t>QS 15-6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Debt securities transactions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P2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 xml:space="preserve">On February 1, 2015, </w:t>
      </w:r>
      <w:proofErr w:type="spellStart"/>
      <w:r w:rsidRPr="00192879">
        <w:rPr>
          <w:rFonts w:eastAsia="Times New Roman" w:cstheme="minorHAnsi"/>
          <w:color w:val="auto"/>
        </w:rPr>
        <w:t>Garzon</w:t>
      </w:r>
      <w:proofErr w:type="spellEnd"/>
      <w:r w:rsidRPr="00192879">
        <w:rPr>
          <w:rFonts w:eastAsia="Times New Roman" w:cstheme="minorHAnsi"/>
          <w:color w:val="auto"/>
        </w:rPr>
        <w:t xml:space="preserve"> purchased 6% bonds issued by PBS Utilities at a cost of $40,000, which is their par value. The bonds pay interest semiannually on July 31 and January 31. For 2015, prepare entries to record </w:t>
      </w:r>
      <w:proofErr w:type="spellStart"/>
      <w:r w:rsidRPr="00192879">
        <w:rPr>
          <w:rFonts w:eastAsia="Times New Roman" w:cstheme="minorHAnsi"/>
          <w:color w:val="auto"/>
        </w:rPr>
        <w:t>Garzon's</w:t>
      </w:r>
      <w:proofErr w:type="spellEnd"/>
      <w:r w:rsidRPr="00192879">
        <w:rPr>
          <w:rFonts w:eastAsia="Times New Roman" w:cstheme="minorHAnsi"/>
          <w:color w:val="auto"/>
        </w:rPr>
        <w:t xml:space="preserve"> July 31 receipt of interest and its December 31 year-end interest accrual.</w:t>
      </w:r>
    </w:p>
    <w:p w:rsidR="00EA7DE2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Exercise 15-4</w:t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Accounting for short-term held-to-maturity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P2</w:t>
      </w:r>
    </w:p>
    <w:p w:rsidR="00EA7DE2" w:rsidRPr="00192879" w:rsidRDefault="00EA7DE2" w:rsidP="00EA7DE2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Prepare journal entries to record the following transactions involving the short-term securities investments of Natura Co., all of which occurred during year 2015.</w:t>
      </w:r>
    </w:p>
    <w:p w:rsidR="00EA7DE2" w:rsidRPr="00192879" w:rsidRDefault="00EA7DE2" w:rsidP="00EA7DE2">
      <w:pPr>
        <w:numPr>
          <w:ilvl w:val="0"/>
          <w:numId w:val="11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 xml:space="preserve">On June 15, paid $1,000,000 cash to purchase Remedy's 90-day short-term debt securities ($1,000,000 principal), dated June 15, </w:t>
      </w:r>
      <w:proofErr w:type="gramStart"/>
      <w:r w:rsidRPr="00192879">
        <w:rPr>
          <w:rFonts w:eastAsia="Times New Roman" w:cstheme="minorHAnsi"/>
          <w:bCs/>
          <w:color w:val="auto"/>
        </w:rPr>
        <w:t>that pay</w:t>
      </w:r>
      <w:proofErr w:type="gramEnd"/>
      <w:r w:rsidRPr="00192879">
        <w:rPr>
          <w:rFonts w:eastAsia="Times New Roman" w:cstheme="minorHAnsi"/>
          <w:bCs/>
          <w:color w:val="auto"/>
        </w:rPr>
        <w:t xml:space="preserve"> 10% interest (categorized as held-to-maturity securities).</w:t>
      </w:r>
    </w:p>
    <w:p w:rsidR="00EA7DE2" w:rsidRPr="00192879" w:rsidRDefault="00EA7DE2" w:rsidP="00EA7DE2">
      <w:pPr>
        <w:numPr>
          <w:ilvl w:val="0"/>
          <w:numId w:val="12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September 16, received a check from Remedy in payment of the principal and 90 days' interest on the debt securities purchased in transaction </w:t>
      </w:r>
      <w:r w:rsidRPr="00192879">
        <w:rPr>
          <w:rFonts w:eastAsia="Times New Roman" w:cstheme="minorHAnsi"/>
          <w:bCs/>
          <w:i/>
          <w:iCs/>
          <w:color w:val="auto"/>
        </w:rPr>
        <w:t>a</w:t>
      </w:r>
      <w:r w:rsidRPr="00192879">
        <w:rPr>
          <w:rFonts w:eastAsia="Times New Roman" w:cstheme="minorHAnsi"/>
          <w:bCs/>
          <w:color w:val="auto"/>
        </w:rPr>
        <w:t>.</w:t>
      </w: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bookmarkStart w:id="0" w:name="_GoBack"/>
      <w:bookmarkEnd w:id="0"/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QS 15-7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Available-for-sale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P3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proofErr w:type="spellStart"/>
      <w:r w:rsidRPr="00192879">
        <w:rPr>
          <w:rFonts w:eastAsia="Times New Roman" w:cstheme="minorHAnsi"/>
          <w:color w:val="auto"/>
        </w:rPr>
        <w:t>Journ</w:t>
      </w:r>
      <w:proofErr w:type="spellEnd"/>
      <w:r w:rsidRPr="00192879">
        <w:rPr>
          <w:rFonts w:eastAsia="Times New Roman" w:cstheme="minorHAnsi"/>
          <w:color w:val="auto"/>
        </w:rPr>
        <w:t xml:space="preserve"> Co. purchased short-term investments in available-for-sale securities at a cost of $50,000 on November 25, 2015. At December 31, 2015, these securities had a fair value of $47,000. This is the first and only time the company has purchased such securities.</w:t>
      </w:r>
    </w:p>
    <w:p w:rsidR="00192879" w:rsidRPr="00192879" w:rsidRDefault="00192879" w:rsidP="00192879">
      <w:pPr>
        <w:numPr>
          <w:ilvl w:val="0"/>
          <w:numId w:val="1"/>
        </w:numPr>
        <w:spacing w:after="0" w:line="255" w:lineRule="atLeast"/>
        <w:ind w:left="450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Prepare the December 31, 2015, year-end adjusting entry for the securities' portfolio.</w:t>
      </w:r>
    </w:p>
    <w:p w:rsidR="00192879" w:rsidRPr="00192879" w:rsidRDefault="00192879" w:rsidP="00192879">
      <w:pPr>
        <w:numPr>
          <w:ilvl w:val="0"/>
          <w:numId w:val="2"/>
        </w:numPr>
        <w:spacing w:after="0" w:line="255" w:lineRule="atLeast"/>
        <w:ind w:left="450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For each account in the entry for part 1, explain how it is reported in financial statements.</w:t>
      </w:r>
    </w:p>
    <w:p w:rsidR="00EA7DE2" w:rsidRPr="00EA7DE2" w:rsidRDefault="00192879" w:rsidP="00EA7DE2">
      <w:pPr>
        <w:numPr>
          <w:ilvl w:val="0"/>
          <w:numId w:val="3"/>
        </w:numPr>
        <w:spacing w:after="0" w:line="255" w:lineRule="atLeast"/>
        <w:ind w:left="450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bCs/>
          <w:color w:val="auto"/>
        </w:rPr>
        <w:t xml:space="preserve">Prepare the April 6, 2016, entry when </w:t>
      </w:r>
      <w:proofErr w:type="spellStart"/>
      <w:r w:rsidRPr="00192879">
        <w:rPr>
          <w:rFonts w:eastAsia="Times New Roman" w:cstheme="minorHAnsi"/>
          <w:bCs/>
          <w:color w:val="auto"/>
        </w:rPr>
        <w:t>Journ</w:t>
      </w:r>
      <w:proofErr w:type="spellEnd"/>
      <w:r w:rsidRPr="00192879">
        <w:rPr>
          <w:rFonts w:eastAsia="Times New Roman" w:cstheme="minorHAnsi"/>
          <w:bCs/>
          <w:color w:val="auto"/>
        </w:rPr>
        <w:t xml:space="preserve"> sells one-half of these securities for $26,000.</w:t>
      </w:r>
    </w:p>
    <w:p w:rsidR="00EA7DE2" w:rsidRDefault="00EA7DE2" w:rsidP="00EA7DE2">
      <w:pPr>
        <w:spacing w:after="0" w:line="255" w:lineRule="atLeast"/>
        <w:rPr>
          <w:rFonts w:eastAsia="Times New Roman" w:cstheme="minorHAnsi"/>
          <w:bCs/>
          <w:color w:val="auto"/>
        </w:rPr>
      </w:pPr>
    </w:p>
    <w:p w:rsidR="00192879" w:rsidRPr="00192879" w:rsidRDefault="00EA7DE2" w:rsidP="00EA7DE2">
      <w:pPr>
        <w:spacing w:after="0" w:line="255" w:lineRule="atLeast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 xml:space="preserve"> </w:t>
      </w:r>
      <w:r w:rsidR="00192879"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QS 15-8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Available-for-sale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P3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Hiker Company completes the following transactions during the current year. Prepare the May 9 and June 2 journal entries and the December 31 adjusting entry. This is the first and only time the company purchased such securities.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53"/>
        <w:gridCol w:w="8483"/>
      </w:tblGrid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May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9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Purchases 200 shares of Higo stock as a short-term investment in available-for-sale securities at a cost of $25 per share plus $150 in broker fees.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June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Sells 100 shares of its investment in Higo stock at $28 per share. The broker's commission on this sale is $90.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Dec.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31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The closing market price (fair value) of the Higo stock is $23 per share.</w:t>
            </w:r>
          </w:p>
        </w:tc>
      </w:tr>
    </w:tbl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QS 15-9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Recording fair value adjustment for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P3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During the current year, Reed Consulting Group acquired long-term available-for-sale securities at a $70,000 cost. At its December 31 year-end, these securities had a fair value of $58,000. This is the first and only time the company purchased such securities.</w:t>
      </w:r>
    </w:p>
    <w:p w:rsidR="00192879" w:rsidRPr="00192879" w:rsidRDefault="00192879" w:rsidP="00192879">
      <w:pPr>
        <w:numPr>
          <w:ilvl w:val="0"/>
          <w:numId w:val="4"/>
        </w:numPr>
        <w:spacing w:after="0" w:line="255" w:lineRule="atLeast"/>
        <w:ind w:left="450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Prepare the necessary year-end adjusting entry related to these securities.</w:t>
      </w:r>
    </w:p>
    <w:p w:rsidR="00192879" w:rsidRPr="00192879" w:rsidRDefault="00192879" w:rsidP="00192879">
      <w:pPr>
        <w:numPr>
          <w:ilvl w:val="0"/>
          <w:numId w:val="5"/>
        </w:numPr>
        <w:spacing w:after="0" w:line="255" w:lineRule="atLeast"/>
        <w:ind w:left="450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Explain how each account used in part 1 is reported in the financial statements.</w:t>
      </w: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QS 15-10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Recording long-term equity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P3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On May 20, 2015, Montero Co. paid $1,000,000 to acquire 25,000 common shares (10%) of ORD Corp. as a long-term investment. On August 5, 2016, Montero sold one-half of these shares for $625,000. What valuation method should be used to account for this stock investment? Prepare entries to record both the acquisition and the sale of these shares.</w:t>
      </w: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lastRenderedPageBreak/>
        <w:t>Exercise 15-5</w:t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Accounting for short-term available-for-sale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P3</w:t>
      </w:r>
    </w:p>
    <w:p w:rsidR="00EA7DE2" w:rsidRPr="00192879" w:rsidRDefault="00EA7DE2" w:rsidP="00EA7DE2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Prepare journal entries to record the following transactions involving the short-term securities investments of Krum Co., all of which occurred during year 2015.</w:t>
      </w:r>
    </w:p>
    <w:p w:rsidR="00EA7DE2" w:rsidRPr="00192879" w:rsidRDefault="00EA7DE2" w:rsidP="00EA7DE2">
      <w:pPr>
        <w:numPr>
          <w:ilvl w:val="0"/>
          <w:numId w:val="13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 xml:space="preserve">On August 1, paid $450,000 cash to purchase </w:t>
      </w:r>
      <w:proofErr w:type="spellStart"/>
      <w:r w:rsidRPr="00192879">
        <w:rPr>
          <w:rFonts w:eastAsia="Times New Roman" w:cstheme="minorHAnsi"/>
          <w:bCs/>
          <w:color w:val="auto"/>
        </w:rPr>
        <w:t>Houtte's</w:t>
      </w:r>
      <w:proofErr w:type="spellEnd"/>
      <w:r w:rsidRPr="00192879">
        <w:rPr>
          <w:rFonts w:eastAsia="Times New Roman" w:cstheme="minorHAnsi"/>
          <w:bCs/>
          <w:color w:val="auto"/>
        </w:rPr>
        <w:t xml:space="preserve"> 9% debt securities ($450,000 principal), dated July 30, 2015, and maturing January 30, 2016 (categorized as available-for-sale securities).</w:t>
      </w:r>
    </w:p>
    <w:p w:rsidR="00EA7DE2" w:rsidRPr="00192879" w:rsidRDefault="00EA7DE2" w:rsidP="00EA7DE2">
      <w:pPr>
        <w:numPr>
          <w:ilvl w:val="0"/>
          <w:numId w:val="14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 xml:space="preserve">On October 30, received a check from </w:t>
      </w:r>
      <w:proofErr w:type="spellStart"/>
      <w:r w:rsidRPr="00192879">
        <w:rPr>
          <w:rFonts w:eastAsia="Times New Roman" w:cstheme="minorHAnsi"/>
          <w:bCs/>
          <w:color w:val="auto"/>
        </w:rPr>
        <w:t>Houtte</w:t>
      </w:r>
      <w:proofErr w:type="spellEnd"/>
      <w:r w:rsidRPr="00192879">
        <w:rPr>
          <w:rFonts w:eastAsia="Times New Roman" w:cstheme="minorHAnsi"/>
          <w:bCs/>
          <w:color w:val="auto"/>
        </w:rPr>
        <w:t xml:space="preserve"> for 90 days' interest on the debt securities purchased in transaction </w:t>
      </w:r>
      <w:r w:rsidRPr="00192879">
        <w:rPr>
          <w:rFonts w:eastAsia="Times New Roman" w:cstheme="minorHAnsi"/>
          <w:bCs/>
          <w:i/>
          <w:iCs/>
          <w:color w:val="auto"/>
        </w:rPr>
        <w:t>a</w:t>
      </w:r>
      <w:r w:rsidRPr="00192879">
        <w:rPr>
          <w:rFonts w:eastAsia="Times New Roman" w:cstheme="minorHAnsi"/>
          <w:bCs/>
          <w:color w:val="auto"/>
        </w:rPr>
        <w:t>.</w:t>
      </w: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24"/>
          <w:szCs w:val="24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Exercise 15-10</w:t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Multiyear fair value adjustments to available-for-sale securities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P3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</w:p>
    <w:p w:rsidR="00EA7DE2" w:rsidRPr="00192879" w:rsidRDefault="00EA7DE2" w:rsidP="00EA7DE2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Ticker Services began operations in 2013 and maintains long-term investments in available-for-sale securities. The year-end cost and fair values for its portfolio of these investments follow. Prepare journal entries to record each year-end fair value adjustment for these securities.</w:t>
      </w:r>
    </w:p>
    <w:p w:rsidR="00EA7DE2" w:rsidRPr="00EA7DE2" w:rsidRDefault="00EA7DE2" w:rsidP="00EA7DE2">
      <w:pPr>
        <w:spacing w:after="15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noProof/>
          <w:color w:val="auto"/>
          <w:sz w:val="18"/>
          <w:szCs w:val="18"/>
        </w:rPr>
        <w:drawing>
          <wp:inline distT="0" distB="0" distL="0" distR="0" wp14:anchorId="2BAA0C9C" wp14:editId="35B27432">
            <wp:extent cx="4142740" cy="1049655"/>
            <wp:effectExtent l="0" t="0" r="0" b="0"/>
            <wp:docPr id="7" name="Picture 7" descr="A table shows the year-end cost and fair values for Ticker Services’ portfolio of long-term investments in available-for-sale securities investm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632877_001_151527c" descr="A table shows the year-end cost and fair values for Ticker Services’ portfolio of long-term investments in available-for-sale securities investment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Exercise 15-6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Transactions in short-term and long-term investments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P1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P2</w:t>
      </w:r>
      <w:r w:rsidRPr="00192879">
        <w:rPr>
          <w:rFonts w:eastAsia="Times New Roman" w:cstheme="minorHAnsi"/>
          <w:color w:val="auto"/>
          <w:sz w:val="18"/>
          <w:szCs w:val="18"/>
        </w:rPr>
        <w:t>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P3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Prepare journal entries to record the following transactions involving both the short-term and long-term investments of Cancun Corp., all of which occurred during calendar-year 2015. Use the account Short-Term Investments for any transactions that you determine are short term.</w:t>
      </w:r>
    </w:p>
    <w:p w:rsidR="00192879" w:rsidRPr="00192879" w:rsidRDefault="00192879" w:rsidP="00192879">
      <w:pPr>
        <w:numPr>
          <w:ilvl w:val="0"/>
          <w:numId w:val="15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February 15, paid $160,000 cash to purchase American General's 90-day short-term notes at par, which are dated February 15 and pay 10% interest (classified as held-to-maturity).</w:t>
      </w:r>
    </w:p>
    <w:p w:rsidR="00192879" w:rsidRPr="00192879" w:rsidRDefault="00192879" w:rsidP="00192879">
      <w:pPr>
        <w:numPr>
          <w:ilvl w:val="0"/>
          <w:numId w:val="16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March 22, bought 700 shares of Fran Industries common stock at $51 cash per share plus a $150 brokerage fee (classified as long-term available-for-sale securities).</w:t>
      </w:r>
    </w:p>
    <w:p w:rsidR="00192879" w:rsidRPr="00192879" w:rsidRDefault="00192879" w:rsidP="00192879">
      <w:pPr>
        <w:numPr>
          <w:ilvl w:val="0"/>
          <w:numId w:val="17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May 15, received a check from American General in payment of the principal and 90 days' interest on the notes purchased in transaction </w:t>
      </w:r>
      <w:r w:rsidRPr="00192879">
        <w:rPr>
          <w:rFonts w:eastAsia="Times New Roman" w:cstheme="minorHAnsi"/>
          <w:bCs/>
          <w:i/>
          <w:iCs/>
          <w:color w:val="auto"/>
        </w:rPr>
        <w:t>a</w:t>
      </w:r>
      <w:r w:rsidRPr="00192879">
        <w:rPr>
          <w:rFonts w:eastAsia="Times New Roman" w:cstheme="minorHAnsi"/>
          <w:bCs/>
          <w:color w:val="auto"/>
        </w:rPr>
        <w:t>.</w:t>
      </w:r>
    </w:p>
    <w:p w:rsidR="00192879" w:rsidRPr="00192879" w:rsidRDefault="00192879" w:rsidP="00192879">
      <w:pPr>
        <w:numPr>
          <w:ilvl w:val="0"/>
          <w:numId w:val="18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 xml:space="preserve">On July 30, paid $100,000 cash to purchase MP3 </w:t>
      </w:r>
      <w:proofErr w:type="spellStart"/>
      <w:r w:rsidRPr="00192879">
        <w:rPr>
          <w:rFonts w:eastAsia="Times New Roman" w:cstheme="minorHAnsi"/>
          <w:bCs/>
          <w:color w:val="auto"/>
        </w:rPr>
        <w:t>Electronics's</w:t>
      </w:r>
      <w:proofErr w:type="spellEnd"/>
      <w:r w:rsidRPr="00192879">
        <w:rPr>
          <w:rFonts w:eastAsia="Times New Roman" w:cstheme="minorHAnsi"/>
          <w:bCs/>
          <w:color w:val="auto"/>
        </w:rPr>
        <w:t xml:space="preserve"> 8% notes at par, dated July 30, 2015, and maturing on January 30, 2016 (classified as trading securities).</w:t>
      </w:r>
    </w:p>
    <w:p w:rsidR="00192879" w:rsidRPr="00192879" w:rsidRDefault="00192879" w:rsidP="00192879">
      <w:pPr>
        <w:numPr>
          <w:ilvl w:val="0"/>
          <w:numId w:val="19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September 1, received a $1.00 per share cash dividend on the Fran Industries common stock purchased in transaction </w:t>
      </w:r>
      <w:r w:rsidRPr="00192879">
        <w:rPr>
          <w:rFonts w:eastAsia="Times New Roman" w:cstheme="minorHAnsi"/>
          <w:bCs/>
          <w:i/>
          <w:iCs/>
          <w:color w:val="auto"/>
        </w:rPr>
        <w:t>b</w:t>
      </w:r>
      <w:r w:rsidRPr="00192879">
        <w:rPr>
          <w:rFonts w:eastAsia="Times New Roman" w:cstheme="minorHAnsi"/>
          <w:bCs/>
          <w:color w:val="auto"/>
        </w:rPr>
        <w:t>.</w:t>
      </w:r>
    </w:p>
    <w:p w:rsidR="00192879" w:rsidRPr="00192879" w:rsidRDefault="00192879" w:rsidP="00192879">
      <w:pPr>
        <w:numPr>
          <w:ilvl w:val="0"/>
          <w:numId w:val="20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October 8, sold 350 shares of Fran Industries common stock for $64 cash per share, less a $125 brokerage fee.</w:t>
      </w:r>
    </w:p>
    <w:p w:rsidR="00192879" w:rsidRPr="00192879" w:rsidRDefault="00192879" w:rsidP="00192879">
      <w:pPr>
        <w:numPr>
          <w:ilvl w:val="0"/>
          <w:numId w:val="21"/>
        </w:numPr>
        <w:spacing w:after="0" w:line="255" w:lineRule="atLeast"/>
        <w:rPr>
          <w:rFonts w:eastAsia="Times New Roman" w:cstheme="minorHAnsi"/>
          <w:bCs/>
          <w:color w:val="auto"/>
        </w:rPr>
      </w:pPr>
      <w:r w:rsidRPr="00192879">
        <w:rPr>
          <w:rFonts w:eastAsia="Times New Roman" w:cstheme="minorHAnsi"/>
          <w:bCs/>
          <w:color w:val="auto"/>
        </w:rPr>
        <w:t>On October 30, received a check from MP3 Electronics for three months' interest on the notes purchased in transaction </w:t>
      </w:r>
      <w:r w:rsidRPr="00192879">
        <w:rPr>
          <w:rFonts w:eastAsia="Times New Roman" w:cstheme="minorHAnsi"/>
          <w:bCs/>
          <w:i/>
          <w:iCs/>
          <w:color w:val="auto"/>
        </w:rPr>
        <w:t>d</w:t>
      </w:r>
      <w:r w:rsidRPr="00192879">
        <w:rPr>
          <w:rFonts w:eastAsia="Times New Roman" w:cstheme="minorHAnsi"/>
          <w:bCs/>
          <w:color w:val="auto"/>
        </w:rPr>
        <w:t>.</w:t>
      </w:r>
    </w:p>
    <w:p w:rsidR="00192879" w:rsidRPr="00192879" w:rsidRDefault="00192879">
      <w:pPr>
        <w:rPr>
          <w:rFonts w:cstheme="minorHAnsi"/>
          <w:color w:val="auto"/>
        </w:rPr>
      </w:pP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Default="00EA7DE2">
      <w:pPr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  <w:r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br w:type="page"/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lastRenderedPageBreak/>
        <w:t>QS 15-11</w:t>
      </w:r>
    </w:p>
    <w:p w:rsidR="00EA7DE2" w:rsidRPr="00192879" w:rsidRDefault="00EA7DE2" w:rsidP="00EA7DE2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Equity method transactions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P4</w:t>
      </w:r>
    </w:p>
    <w:p w:rsidR="00EA7DE2" w:rsidRPr="00EA7DE2" w:rsidRDefault="00EA7DE2" w:rsidP="00EA7DE2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>Montero Co. holds 100,000 common shares (40%) of ORD Corp. as a long-term investment. ORD Corp. paid a $100,000 dividend on November 1, 2015, and reported a net income of $700,000 for 2015. Prepare Montero's entries to record (</w:t>
      </w:r>
      <w:r w:rsidRPr="00192879">
        <w:rPr>
          <w:rFonts w:eastAsia="Times New Roman" w:cstheme="minorHAnsi"/>
          <w:i/>
          <w:iCs/>
          <w:color w:val="auto"/>
        </w:rPr>
        <w:t>a</w:t>
      </w:r>
      <w:r w:rsidRPr="00192879">
        <w:rPr>
          <w:rFonts w:eastAsia="Times New Roman" w:cstheme="minorHAnsi"/>
          <w:color w:val="auto"/>
        </w:rPr>
        <w:t>) the receipt of the dividend and (</w:t>
      </w:r>
      <w:r w:rsidRPr="00192879">
        <w:rPr>
          <w:rFonts w:eastAsia="Times New Roman" w:cstheme="minorHAnsi"/>
          <w:i/>
          <w:iCs/>
          <w:color w:val="auto"/>
        </w:rPr>
        <w:t>b</w:t>
      </w:r>
      <w:r w:rsidRPr="00192879">
        <w:rPr>
          <w:rFonts w:eastAsia="Times New Roman" w:cstheme="minorHAnsi"/>
          <w:color w:val="auto"/>
        </w:rPr>
        <w:t>) the December 31, 2015, year-end adjustment required for the investment account.</w:t>
      </w: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EA7DE2" w:rsidRDefault="00EA7DE2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</w:pP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24"/>
          <w:szCs w:val="24"/>
        </w:rPr>
      </w:pPr>
      <w:r w:rsidRPr="00192879">
        <w:rPr>
          <w:rFonts w:eastAsia="Times New Roman" w:cstheme="minorHAnsi"/>
          <w:color w:val="auto"/>
          <w:sz w:val="18"/>
          <w:szCs w:val="18"/>
          <w:bdr w:val="single" w:sz="6" w:space="4" w:color="000000" w:frame="1"/>
        </w:rPr>
        <w:t>Exercise 15-12</w:t>
      </w:r>
    </w:p>
    <w:p w:rsidR="00192879" w:rsidRPr="00192879" w:rsidRDefault="00192879" w:rsidP="00192879">
      <w:pPr>
        <w:spacing w:after="0" w:line="240" w:lineRule="auto"/>
        <w:rPr>
          <w:rFonts w:eastAsia="Times New Roman" w:cstheme="minorHAnsi"/>
          <w:color w:val="auto"/>
          <w:sz w:val="18"/>
          <w:szCs w:val="18"/>
        </w:rPr>
      </w:pPr>
      <w:r w:rsidRPr="00192879">
        <w:rPr>
          <w:rFonts w:eastAsia="Times New Roman" w:cstheme="minorHAnsi"/>
          <w:color w:val="auto"/>
          <w:sz w:val="18"/>
          <w:szCs w:val="18"/>
        </w:rPr>
        <w:t>Securities transactions; equity method </w:t>
      </w:r>
      <w:r w:rsidRPr="00192879">
        <w:rPr>
          <w:rFonts w:eastAsia="Times New Roman" w:cstheme="minorHAnsi"/>
          <w:bCs/>
          <w:color w:val="auto"/>
          <w:sz w:val="18"/>
          <w:szCs w:val="18"/>
        </w:rPr>
        <w:t>P4</w:t>
      </w:r>
    </w:p>
    <w:p w:rsidR="00192879" w:rsidRPr="00192879" w:rsidRDefault="00192879" w:rsidP="00192879">
      <w:pPr>
        <w:spacing w:after="0" w:line="255" w:lineRule="atLeast"/>
        <w:rPr>
          <w:rFonts w:eastAsia="Times New Roman" w:cstheme="minorHAnsi"/>
          <w:color w:val="auto"/>
        </w:rPr>
      </w:pPr>
      <w:r w:rsidRPr="00192879">
        <w:rPr>
          <w:rFonts w:eastAsia="Times New Roman" w:cstheme="minorHAnsi"/>
          <w:color w:val="auto"/>
        </w:rPr>
        <w:t xml:space="preserve">Prepare journal entries to record the following transactions and events of </w:t>
      </w:r>
      <w:proofErr w:type="spellStart"/>
      <w:r w:rsidRPr="00192879">
        <w:rPr>
          <w:rFonts w:eastAsia="Times New Roman" w:cstheme="minorHAnsi"/>
          <w:color w:val="auto"/>
        </w:rPr>
        <w:t>Kodax</w:t>
      </w:r>
      <w:proofErr w:type="spellEnd"/>
      <w:r w:rsidRPr="00192879">
        <w:rPr>
          <w:rFonts w:eastAsia="Times New Roman" w:cstheme="minorHAnsi"/>
          <w:color w:val="auto"/>
        </w:rPr>
        <w:t xml:space="preserve"> Company.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"/>
        <w:gridCol w:w="8593"/>
      </w:tblGrid>
      <w:tr w:rsidR="00192879" w:rsidRPr="00192879" w:rsidTr="0019287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bCs/>
                <w:i/>
                <w:iCs/>
                <w:color w:val="auto"/>
              </w:rPr>
              <w:t>2015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Jan.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2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 xml:space="preserve">Purchased 30,000 shares of </w:t>
            </w:r>
            <w:proofErr w:type="spellStart"/>
            <w:r w:rsidRPr="00192879">
              <w:rPr>
                <w:rFonts w:eastAsia="Times New Roman" w:cstheme="minorHAnsi"/>
                <w:color w:val="auto"/>
              </w:rPr>
              <w:t>Grecco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Co. common stock for $408,000 cash plus a broker's fee of $3,000 cash. </w:t>
            </w:r>
            <w:proofErr w:type="spellStart"/>
            <w:r w:rsidRPr="00192879">
              <w:rPr>
                <w:rFonts w:eastAsia="Times New Roman" w:cstheme="minorHAnsi"/>
                <w:color w:val="auto"/>
              </w:rPr>
              <w:t>Bushtex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has 90,000 shares of common stock outstanding and its policies will be significantly influenced by </w:t>
            </w:r>
            <w:proofErr w:type="spellStart"/>
            <w:r w:rsidRPr="00192879">
              <w:rPr>
                <w:rFonts w:eastAsia="Times New Roman" w:cstheme="minorHAnsi"/>
                <w:color w:val="auto"/>
              </w:rPr>
              <w:t>Kodax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>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Sept.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proofErr w:type="spellStart"/>
            <w:r w:rsidRPr="00192879">
              <w:rPr>
                <w:rFonts w:eastAsia="Times New Roman" w:cstheme="minorHAnsi"/>
                <w:color w:val="auto"/>
              </w:rPr>
              <w:t>Grecco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declared and paid a cash dividend of $1.50 per share.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Dec.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31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proofErr w:type="spellStart"/>
            <w:r w:rsidRPr="00192879">
              <w:rPr>
                <w:rFonts w:eastAsia="Times New Roman" w:cstheme="minorHAnsi"/>
                <w:color w:val="auto"/>
              </w:rPr>
              <w:t>Grecco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announced that net income for the year is $486,900.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bCs/>
                <w:i/>
                <w:iCs/>
                <w:color w:val="auto"/>
              </w:rPr>
              <w:t>2016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June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1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proofErr w:type="spellStart"/>
            <w:r w:rsidRPr="00192879">
              <w:rPr>
                <w:rFonts w:eastAsia="Times New Roman" w:cstheme="minorHAnsi"/>
                <w:color w:val="auto"/>
              </w:rPr>
              <w:t>Grecco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declared and paid a cash dividend of $2.10 per share.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Dec.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31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proofErr w:type="spellStart"/>
            <w:r w:rsidRPr="00192879">
              <w:rPr>
                <w:rFonts w:eastAsia="Times New Roman" w:cstheme="minorHAnsi"/>
                <w:color w:val="auto"/>
              </w:rPr>
              <w:t>Grecco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announced that net income for the year is $702,750.</w:t>
            </w:r>
          </w:p>
        </w:tc>
      </w:tr>
      <w:tr w:rsidR="00192879" w:rsidRPr="00192879" w:rsidTr="0019287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Dec.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92879" w:rsidRPr="00192879" w:rsidRDefault="00192879" w:rsidP="00192879">
            <w:pPr>
              <w:spacing w:after="0" w:line="255" w:lineRule="atLeast"/>
              <w:jc w:val="right"/>
              <w:rPr>
                <w:rFonts w:eastAsia="Times New Roman" w:cstheme="minorHAnsi"/>
                <w:color w:val="auto"/>
              </w:rPr>
            </w:pPr>
            <w:r w:rsidRPr="00192879">
              <w:rPr>
                <w:rFonts w:eastAsia="Times New Roman" w:cstheme="minorHAnsi"/>
                <w:color w:val="auto"/>
              </w:rPr>
              <w:t>31</w:t>
            </w:r>
          </w:p>
        </w:tc>
        <w:tc>
          <w:tcPr>
            <w:tcW w:w="0" w:type="auto"/>
            <w:hideMark/>
          </w:tcPr>
          <w:p w:rsidR="00192879" w:rsidRPr="00192879" w:rsidRDefault="00192879" w:rsidP="00192879">
            <w:pPr>
              <w:spacing w:after="0" w:line="255" w:lineRule="atLeast"/>
              <w:rPr>
                <w:rFonts w:eastAsia="Times New Roman" w:cstheme="minorHAnsi"/>
                <w:color w:val="auto"/>
              </w:rPr>
            </w:pPr>
            <w:proofErr w:type="spellStart"/>
            <w:r w:rsidRPr="00192879">
              <w:rPr>
                <w:rFonts w:eastAsia="Times New Roman" w:cstheme="minorHAnsi"/>
                <w:color w:val="auto"/>
              </w:rPr>
              <w:t>Kodax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sold 10,000 shares of </w:t>
            </w:r>
            <w:proofErr w:type="spellStart"/>
            <w:r w:rsidRPr="00192879">
              <w:rPr>
                <w:rFonts w:eastAsia="Times New Roman" w:cstheme="minorHAnsi"/>
                <w:color w:val="auto"/>
              </w:rPr>
              <w:t>Grecco</w:t>
            </w:r>
            <w:proofErr w:type="spellEnd"/>
            <w:r w:rsidRPr="00192879">
              <w:rPr>
                <w:rFonts w:eastAsia="Times New Roman" w:cstheme="minorHAnsi"/>
                <w:color w:val="auto"/>
              </w:rPr>
              <w:t xml:space="preserve"> for $320,000 cash.</w:t>
            </w:r>
          </w:p>
        </w:tc>
      </w:tr>
    </w:tbl>
    <w:p w:rsidR="00192879" w:rsidRPr="00192879" w:rsidRDefault="00192879">
      <w:pPr>
        <w:rPr>
          <w:rFonts w:cstheme="minorHAnsi"/>
          <w:color w:val="auto"/>
        </w:rPr>
      </w:pPr>
    </w:p>
    <w:sectPr w:rsidR="00192879" w:rsidRPr="00192879" w:rsidSect="00EA7D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3EF"/>
    <w:multiLevelType w:val="multilevel"/>
    <w:tmpl w:val="20C22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D2D31"/>
    <w:multiLevelType w:val="multilevel"/>
    <w:tmpl w:val="F5B270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0522B"/>
    <w:multiLevelType w:val="multilevel"/>
    <w:tmpl w:val="F060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50CF6"/>
    <w:multiLevelType w:val="multilevel"/>
    <w:tmpl w:val="BCAA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B6B1A"/>
    <w:multiLevelType w:val="multilevel"/>
    <w:tmpl w:val="44E6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7202F"/>
    <w:multiLevelType w:val="multilevel"/>
    <w:tmpl w:val="C366B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65BC2"/>
    <w:multiLevelType w:val="multilevel"/>
    <w:tmpl w:val="C144C1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2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2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2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5"/>
    </w:lvlOverride>
  </w:num>
  <w:num w:numId="20">
    <w:abstractNumId w:val="1"/>
    <w:lvlOverride w:ilvl="0">
      <w:startOverride w:val="6"/>
    </w:lvlOverride>
  </w:num>
  <w:num w:numId="21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79"/>
    <w:rsid w:val="00192879"/>
    <w:rsid w:val="00196B81"/>
    <w:rsid w:val="00E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192879"/>
  </w:style>
  <w:style w:type="character" w:customStyle="1" w:styleId="apple-converted-space">
    <w:name w:val="apple-converted-space"/>
    <w:basedOn w:val="DefaultParagraphFont"/>
    <w:rsid w:val="00192879"/>
  </w:style>
  <w:style w:type="character" w:customStyle="1" w:styleId="spendlop">
    <w:name w:val="spendlop"/>
    <w:basedOn w:val="DefaultParagraphFont"/>
    <w:rsid w:val="00192879"/>
  </w:style>
  <w:style w:type="paragraph" w:styleId="NormalWeb">
    <w:name w:val="Normal (Web)"/>
    <w:basedOn w:val="Normal"/>
    <w:uiPriority w:val="99"/>
    <w:unhideWhenUsed/>
    <w:rsid w:val="001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ssetshortdesc">
    <w:name w:val="asset_shortdesc"/>
    <w:basedOn w:val="DefaultParagraphFont"/>
    <w:rsid w:val="00192879"/>
  </w:style>
  <w:style w:type="character" w:styleId="Emphasis">
    <w:name w:val="Emphasis"/>
    <w:basedOn w:val="DefaultParagraphFont"/>
    <w:uiPriority w:val="20"/>
    <w:qFormat/>
    <w:rsid w:val="001928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79"/>
    <w:rPr>
      <w:rFonts w:ascii="Tahoma" w:hAnsi="Tahoma" w:cs="Tahoma"/>
      <w:sz w:val="16"/>
      <w:szCs w:val="16"/>
    </w:rPr>
  </w:style>
  <w:style w:type="paragraph" w:customStyle="1" w:styleId="spacenotesecond">
    <w:name w:val="spacenotesecond"/>
    <w:basedOn w:val="Normal"/>
    <w:rsid w:val="001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92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1">
    <w:name w:val="qstit1"/>
    <w:basedOn w:val="DefaultParagraphFont"/>
    <w:rsid w:val="00192879"/>
  </w:style>
  <w:style w:type="character" w:customStyle="1" w:styleId="apple-converted-space">
    <w:name w:val="apple-converted-space"/>
    <w:basedOn w:val="DefaultParagraphFont"/>
    <w:rsid w:val="00192879"/>
  </w:style>
  <w:style w:type="character" w:customStyle="1" w:styleId="spendlop">
    <w:name w:val="spendlop"/>
    <w:basedOn w:val="DefaultParagraphFont"/>
    <w:rsid w:val="00192879"/>
  </w:style>
  <w:style w:type="paragraph" w:styleId="NormalWeb">
    <w:name w:val="Normal (Web)"/>
    <w:basedOn w:val="Normal"/>
    <w:uiPriority w:val="99"/>
    <w:unhideWhenUsed/>
    <w:rsid w:val="001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ssetshortdesc">
    <w:name w:val="asset_shortdesc"/>
    <w:basedOn w:val="DefaultParagraphFont"/>
    <w:rsid w:val="00192879"/>
  </w:style>
  <w:style w:type="character" w:styleId="Emphasis">
    <w:name w:val="Emphasis"/>
    <w:basedOn w:val="DefaultParagraphFont"/>
    <w:uiPriority w:val="20"/>
    <w:qFormat/>
    <w:rsid w:val="001928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79"/>
    <w:rPr>
      <w:rFonts w:ascii="Tahoma" w:hAnsi="Tahoma" w:cs="Tahoma"/>
      <w:sz w:val="16"/>
      <w:szCs w:val="16"/>
    </w:rPr>
  </w:style>
  <w:style w:type="paragraph" w:customStyle="1" w:styleId="spacenotesecond">
    <w:name w:val="spacenotesecond"/>
    <w:basedOn w:val="Normal"/>
    <w:rsid w:val="001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92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0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029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  <w:div w:id="1468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4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2</cp:revision>
  <dcterms:created xsi:type="dcterms:W3CDTF">2017-01-06T18:22:00Z</dcterms:created>
  <dcterms:modified xsi:type="dcterms:W3CDTF">2017-01-06T18:32:00Z</dcterms:modified>
</cp:coreProperties>
</file>