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D1F4" w14:textId="3F975425" w:rsidR="00915804" w:rsidRPr="00F46291" w:rsidRDefault="00D972F1" w:rsidP="00EC0271">
      <w:pPr>
        <w:jc w:val="both"/>
        <w:rPr>
          <w:rFonts w:ascii="Calibri" w:hAnsi="Calibri"/>
          <w:b/>
          <w:sz w:val="22"/>
          <w:szCs w:val="22"/>
        </w:rPr>
      </w:pPr>
      <w:bookmarkStart w:id="0" w:name="_GoBack"/>
      <w:bookmarkEnd w:id="0"/>
      <w:r>
        <w:rPr>
          <w:rFonts w:ascii="Calibri" w:hAnsi="Calibri"/>
          <w:b/>
          <w:sz w:val="22"/>
          <w:szCs w:val="22"/>
        </w:rPr>
        <w:t xml:space="preserve">Bingham </w:t>
      </w:r>
      <w:r w:rsidR="00373BE1" w:rsidRPr="00F46291">
        <w:rPr>
          <w:rFonts w:ascii="Calibri" w:hAnsi="Calibri"/>
          <w:b/>
          <w:sz w:val="22"/>
          <w:szCs w:val="22"/>
        </w:rPr>
        <w:t xml:space="preserve">Chapter 7 </w:t>
      </w:r>
    </w:p>
    <w:p w14:paraId="76C3D372" w14:textId="624792D0" w:rsidR="007B3D13" w:rsidRPr="00F46291" w:rsidRDefault="007B3D13" w:rsidP="00EC0271">
      <w:pPr>
        <w:jc w:val="both"/>
        <w:rPr>
          <w:rFonts w:ascii="Calibri" w:hAnsi="Calibri"/>
          <w:b/>
          <w:sz w:val="22"/>
          <w:szCs w:val="22"/>
        </w:rPr>
      </w:pPr>
      <w:r w:rsidRPr="00F46291">
        <w:rPr>
          <w:rFonts w:ascii="Calibri" w:hAnsi="Calibri"/>
          <w:b/>
          <w:sz w:val="22"/>
          <w:szCs w:val="22"/>
        </w:rPr>
        <w:t xml:space="preserve">Recording Transactions Affecting the Enterprise Fund and Business-Type Activities </w:t>
      </w:r>
    </w:p>
    <w:p w14:paraId="58E6C2BF" w14:textId="27358D4E" w:rsidR="00915804" w:rsidRPr="00F46291" w:rsidRDefault="00915804" w:rsidP="00EC0271">
      <w:pPr>
        <w:jc w:val="both"/>
        <w:rPr>
          <w:rFonts w:ascii="Calibri" w:hAnsi="Calibri"/>
          <w:sz w:val="22"/>
          <w:szCs w:val="22"/>
        </w:rPr>
      </w:pPr>
    </w:p>
    <w:p w14:paraId="4C7AB47D" w14:textId="25248071" w:rsidR="00915804" w:rsidRPr="00F46291" w:rsidRDefault="00915804" w:rsidP="00EC0271">
      <w:pPr>
        <w:jc w:val="both"/>
        <w:rPr>
          <w:rFonts w:ascii="Calibri" w:hAnsi="Calibri" w:cs="Helvetica"/>
          <w:color w:val="333333"/>
          <w:sz w:val="22"/>
          <w:szCs w:val="22"/>
        </w:rPr>
      </w:pPr>
      <w:r w:rsidRPr="00F46291">
        <w:rPr>
          <w:rFonts w:ascii="Calibri" w:hAnsi="Calibri" w:cs="Helvetica"/>
          <w:color w:val="333333"/>
          <w:sz w:val="22"/>
          <w:szCs w:val="22"/>
        </w:rPr>
        <w:t>Governmental funds owe their existence to legal constraints placed on the raising of revenues and the use of resources. In contrast to the governmental funds, proprietary funds rely primarily on exchange transactions, specifically charges for services, to generate revenues. As a result, proprietary funds follow accounting principles that are similar to those of investor-owned businesses.</w:t>
      </w:r>
    </w:p>
    <w:p w14:paraId="7E3AB715" w14:textId="2CFDF75A" w:rsidR="00915804" w:rsidRPr="00F46291" w:rsidRDefault="00915804" w:rsidP="00EC0271">
      <w:pPr>
        <w:jc w:val="both"/>
        <w:rPr>
          <w:rFonts w:ascii="Calibri" w:hAnsi="Calibri" w:cs="Helvetica"/>
          <w:color w:val="333333"/>
          <w:sz w:val="22"/>
          <w:szCs w:val="22"/>
        </w:rPr>
      </w:pPr>
    </w:p>
    <w:p w14:paraId="2606F4EA" w14:textId="54A3E729" w:rsidR="00915804" w:rsidRPr="00F46291" w:rsidRDefault="00915804" w:rsidP="00EC0271">
      <w:pPr>
        <w:jc w:val="both"/>
        <w:rPr>
          <w:rFonts w:ascii="Calibri" w:hAnsi="Calibri" w:cs="Helvetica"/>
          <w:color w:val="333333"/>
          <w:sz w:val="22"/>
          <w:szCs w:val="22"/>
        </w:rPr>
      </w:pPr>
      <w:r w:rsidRPr="00F46291">
        <w:rPr>
          <w:rFonts w:ascii="Calibri" w:hAnsi="Calibri" w:cs="Helvetica"/>
          <w:color w:val="333333"/>
          <w:sz w:val="22"/>
          <w:szCs w:val="22"/>
        </w:rPr>
        <w:t>Proprietary funds can be either an enterprise fund or an internal service fund. The focus on exchange transactions with parties outside of the government is the reason that the enterprise funds are reported in a separate Business-type Activities column at the government-wide level. In contrast, the exchange transactions recorded in internal service funds are primarily undertaken with other funds and departments within the government; hence internal service funds are typically reported as governmental activities at the government-wide level.</w:t>
      </w:r>
    </w:p>
    <w:p w14:paraId="2EE7EFF4" w14:textId="11656B3F" w:rsidR="00915804" w:rsidRPr="00F46291" w:rsidRDefault="00915804" w:rsidP="00EC0271">
      <w:pPr>
        <w:jc w:val="both"/>
        <w:rPr>
          <w:rFonts w:ascii="Calibri" w:hAnsi="Calibri" w:cs="Helvetica"/>
          <w:color w:val="333333"/>
          <w:sz w:val="22"/>
          <w:szCs w:val="22"/>
        </w:rPr>
      </w:pPr>
    </w:p>
    <w:p w14:paraId="7AD013D8" w14:textId="172852D5" w:rsidR="00915804" w:rsidRPr="00F46291" w:rsidRDefault="00915804" w:rsidP="00EC0271">
      <w:pPr>
        <w:jc w:val="both"/>
        <w:rPr>
          <w:rFonts w:ascii="Calibri" w:hAnsi="Calibri" w:cs="Helvetica"/>
          <w:b/>
          <w:color w:val="333333"/>
          <w:sz w:val="22"/>
          <w:szCs w:val="22"/>
        </w:rPr>
      </w:pPr>
      <w:r w:rsidRPr="00F46291">
        <w:rPr>
          <w:rFonts w:ascii="Calibri" w:hAnsi="Calibri" w:cs="Helvetica"/>
          <w:b/>
          <w:color w:val="333333"/>
          <w:sz w:val="22"/>
          <w:szCs w:val="22"/>
        </w:rPr>
        <w:t>Proprietary Funds</w:t>
      </w:r>
    </w:p>
    <w:p w14:paraId="67ACB4E0" w14:textId="5E0AE223" w:rsidR="006470E4" w:rsidRPr="00F46291" w:rsidRDefault="006470E4" w:rsidP="00EC0271">
      <w:pPr>
        <w:tabs>
          <w:tab w:val="left" w:pos="0"/>
        </w:tabs>
        <w:jc w:val="both"/>
        <w:rPr>
          <w:rFonts w:ascii="Calibri" w:hAnsi="Calibri" w:cs="Helvetica"/>
          <w:color w:val="333333"/>
          <w:sz w:val="22"/>
          <w:szCs w:val="22"/>
        </w:rPr>
      </w:pPr>
    </w:p>
    <w:p w14:paraId="2FEE3BC4" w14:textId="22C9BF96" w:rsidR="006470E4" w:rsidRPr="00F46291" w:rsidRDefault="006470E4" w:rsidP="00EC0271">
      <w:pPr>
        <w:pStyle w:val="NormalWeb"/>
        <w:spacing w:before="0" w:beforeAutospacing="0" w:after="0" w:afterAutospacing="0" w:line="255" w:lineRule="atLeast"/>
        <w:jc w:val="both"/>
        <w:rPr>
          <w:rFonts w:ascii="Calibri" w:eastAsia="SimSun" w:hAnsi="Calibri" w:cs="Helvetica"/>
          <w:color w:val="333333"/>
          <w:sz w:val="22"/>
          <w:szCs w:val="22"/>
          <w:lang w:eastAsia="zh-CN"/>
        </w:rPr>
      </w:pPr>
      <w:r w:rsidRPr="00F46291">
        <w:rPr>
          <w:rFonts w:ascii="Calibri" w:eastAsia="SimSun" w:hAnsi="Calibri" w:cs="Helvetica"/>
          <w:color w:val="333333"/>
          <w:sz w:val="22"/>
          <w:szCs w:val="22"/>
          <w:lang w:eastAsia="zh-CN"/>
        </w:rPr>
        <w:t xml:space="preserve">Traditionally, the reason for the creation of proprietary funds was to improve the management of resources. As governments become more complex, efficiencies can be gained by combining or centralizing services that are commonly found in several departments or funds. Examples of common services or functions that are frequently centralized by governments include purchasing, information systems, insurance, and central motor pools. More recently, with increased citizen </w:t>
      </w:r>
      <w:r w:rsidRPr="00F46291">
        <w:rPr>
          <w:rFonts w:ascii="Calibri" w:hAnsi="Calibri"/>
          <w:sz w:val="22"/>
          <w:szCs w:val="22"/>
          <w:lang w:eastAsia="zh-CN"/>
        </w:rPr>
        <w:t>resistance to tax increases, many governmental entities also rely on user charges as a means of financing operations formerly financed by tax revenues and intergovernmental revenues. Thus, proprietary funds are now frequently used to account for activities formerly found in governmental funds.</w:t>
      </w:r>
    </w:p>
    <w:p w14:paraId="181BC9A1" w14:textId="77777777" w:rsidR="006470E4" w:rsidRPr="00F46291" w:rsidRDefault="006470E4" w:rsidP="00EC0271">
      <w:pPr>
        <w:pStyle w:val="NormalWeb"/>
        <w:spacing w:before="0" w:beforeAutospacing="0" w:after="0" w:afterAutospacing="0" w:line="255" w:lineRule="atLeast"/>
        <w:jc w:val="both"/>
        <w:rPr>
          <w:rFonts w:ascii="Calibri" w:eastAsia="SimSun" w:hAnsi="Calibri" w:cs="Helvetica"/>
          <w:color w:val="333333"/>
          <w:sz w:val="22"/>
          <w:szCs w:val="22"/>
          <w:lang w:eastAsia="zh-CN"/>
        </w:rPr>
      </w:pPr>
    </w:p>
    <w:p w14:paraId="61779037" w14:textId="1DD3FC0C" w:rsidR="006470E4" w:rsidRPr="00F46291" w:rsidRDefault="006470E4" w:rsidP="00EC0271">
      <w:pPr>
        <w:pStyle w:val="NormalWeb"/>
        <w:spacing w:before="0" w:beforeAutospacing="0" w:after="0" w:afterAutospacing="0" w:line="255" w:lineRule="atLeast"/>
        <w:jc w:val="both"/>
        <w:rPr>
          <w:rFonts w:ascii="Calibri" w:eastAsia="SimSun" w:hAnsi="Calibri" w:cs="Helvetica"/>
          <w:color w:val="333333"/>
          <w:sz w:val="22"/>
          <w:szCs w:val="22"/>
          <w:lang w:eastAsia="zh-CN"/>
        </w:rPr>
      </w:pPr>
      <w:r w:rsidRPr="00F46291">
        <w:rPr>
          <w:rFonts w:ascii="Calibri" w:eastAsia="SimSun" w:hAnsi="Calibri" w:cs="Helvetica"/>
          <w:color w:val="333333"/>
          <w:sz w:val="22"/>
          <w:szCs w:val="22"/>
          <w:lang w:eastAsia="zh-CN"/>
        </w:rPr>
        <w:t xml:space="preserve">Because proprietary funds operate on user charges, it is important to determine whether user charges are sufficient to cover operating costs. Additionally, administrators and governing bodies need information that will allow them to determine that the costs of operating the fund are reasonable in relation to the benefits provided by the fund. For these reasons, accounting and operating activities of proprietary funds are conducted in a business-like manner, focusing on the economic flow of resources </w:t>
      </w:r>
      <w:r w:rsidR="00D972F1">
        <w:rPr>
          <w:rFonts w:ascii="Calibri" w:eastAsia="SimSun" w:hAnsi="Calibri" w:cs="Helvetica"/>
          <w:color w:val="333333"/>
          <w:sz w:val="22"/>
          <w:szCs w:val="22"/>
          <w:lang w:eastAsia="zh-CN"/>
        </w:rPr>
        <w:t xml:space="preserve">using </w:t>
      </w:r>
      <w:r w:rsidRPr="00F46291">
        <w:rPr>
          <w:rFonts w:ascii="Calibri" w:eastAsia="SimSun" w:hAnsi="Calibri" w:cs="Helvetica"/>
          <w:color w:val="333333"/>
          <w:sz w:val="22"/>
          <w:szCs w:val="22"/>
          <w:lang w:eastAsia="zh-CN"/>
        </w:rPr>
        <w:t>accrual accounting.</w:t>
      </w:r>
    </w:p>
    <w:p w14:paraId="30692F66" w14:textId="77777777" w:rsidR="006470E4" w:rsidRPr="00F46291" w:rsidRDefault="006470E4" w:rsidP="00EC0271">
      <w:pPr>
        <w:pStyle w:val="NormalWeb"/>
        <w:spacing w:before="0" w:beforeAutospacing="0" w:after="0" w:afterAutospacing="0" w:line="255" w:lineRule="atLeast"/>
        <w:jc w:val="both"/>
        <w:rPr>
          <w:rFonts w:ascii="Calibri" w:hAnsi="Calibri" w:cs="Helvetica"/>
          <w:color w:val="333333"/>
          <w:sz w:val="22"/>
          <w:szCs w:val="22"/>
        </w:rPr>
      </w:pPr>
    </w:p>
    <w:p w14:paraId="413C5C7B" w14:textId="0048379D" w:rsidR="00445D8F" w:rsidRPr="00F46291" w:rsidRDefault="006470E4" w:rsidP="006D59A9">
      <w:pPr>
        <w:tabs>
          <w:tab w:val="left" w:pos="0"/>
        </w:tabs>
        <w:jc w:val="both"/>
        <w:rPr>
          <w:rStyle w:val="apple-converted-space"/>
          <w:rFonts w:ascii="Calibri" w:hAnsi="Calibri" w:cs="Helvetica"/>
          <w:color w:val="333333"/>
          <w:sz w:val="22"/>
          <w:szCs w:val="22"/>
        </w:rPr>
      </w:pPr>
      <w:r w:rsidRPr="00F46291">
        <w:rPr>
          <w:rStyle w:val="Emphasis"/>
          <w:rFonts w:ascii="Calibri" w:hAnsi="Calibri" w:cs="Helvetica"/>
          <w:i w:val="0"/>
          <w:color w:val="333333"/>
          <w:sz w:val="22"/>
          <w:szCs w:val="22"/>
        </w:rPr>
        <w:t>Internal service funds</w:t>
      </w:r>
      <w:r w:rsidRPr="00F46291">
        <w:rPr>
          <w:rStyle w:val="apple-converted-space"/>
          <w:rFonts w:ascii="Calibri" w:hAnsi="Calibri" w:cs="Helvetica"/>
          <w:color w:val="333333"/>
          <w:sz w:val="22"/>
          <w:szCs w:val="22"/>
        </w:rPr>
        <w:t> </w:t>
      </w:r>
      <w:r w:rsidRPr="00F46291">
        <w:rPr>
          <w:rFonts w:ascii="Calibri" w:hAnsi="Calibri" w:cs="Helvetica"/>
          <w:color w:val="333333"/>
          <w:sz w:val="22"/>
          <w:szCs w:val="22"/>
        </w:rPr>
        <w:t>are used to account for the acquisition or production and the distribution of centralized goods and services that are provided to departments or agencies of the government, or to other governments, on a cost-reimbursement basis. Although internal service funds are accounted for</w:t>
      </w:r>
      <w:r w:rsidRPr="00F46291">
        <w:rPr>
          <w:rStyle w:val="apple-converted-space"/>
          <w:rFonts w:ascii="Calibri" w:hAnsi="Calibri" w:cs="Helvetica"/>
          <w:color w:val="333333"/>
          <w:sz w:val="22"/>
          <w:szCs w:val="22"/>
        </w:rPr>
        <w:t> </w:t>
      </w:r>
      <w:r w:rsidRPr="00F46291">
        <w:rPr>
          <w:rStyle w:val="Emphasis"/>
          <w:rFonts w:ascii="Calibri" w:hAnsi="Calibri" w:cs="Helvetica"/>
          <w:i w:val="0"/>
          <w:color w:val="333333"/>
          <w:sz w:val="22"/>
          <w:szCs w:val="22"/>
        </w:rPr>
        <w:t xml:space="preserve">internally </w:t>
      </w:r>
      <w:r w:rsidRPr="00F46291">
        <w:rPr>
          <w:rFonts w:ascii="Calibri" w:hAnsi="Calibri" w:cs="Helvetica"/>
          <w:color w:val="333333"/>
          <w:sz w:val="22"/>
          <w:szCs w:val="22"/>
        </w:rPr>
        <w:t xml:space="preserve">as business-type activities, their transactions predominantly involve sales of goods and services, or other transactions with the General Fund and other governmental funds. </w:t>
      </w:r>
    </w:p>
    <w:p w14:paraId="4CFBE1AA" w14:textId="77777777" w:rsidR="00445D8F" w:rsidRPr="00F46291" w:rsidRDefault="00445D8F" w:rsidP="00EC0271">
      <w:pPr>
        <w:tabs>
          <w:tab w:val="left" w:pos="0"/>
        </w:tabs>
        <w:jc w:val="both"/>
        <w:rPr>
          <w:rStyle w:val="apple-converted-space"/>
          <w:rFonts w:ascii="Calibri" w:hAnsi="Calibri" w:cs="Helvetica"/>
          <w:color w:val="333333"/>
          <w:sz w:val="22"/>
          <w:szCs w:val="22"/>
        </w:rPr>
      </w:pPr>
    </w:p>
    <w:p w14:paraId="01547EA3" w14:textId="730F92CB" w:rsidR="00445D8F" w:rsidRPr="00F46291" w:rsidRDefault="006D59A9" w:rsidP="00EC0271">
      <w:pPr>
        <w:jc w:val="both"/>
        <w:rPr>
          <w:rFonts w:ascii="Calibri" w:eastAsia="Times New Roman" w:hAnsi="Calibri" w:cs="Helvetica"/>
          <w:b/>
          <w:bCs/>
          <w:color w:val="333333"/>
          <w:sz w:val="22"/>
          <w:szCs w:val="22"/>
          <w:lang w:eastAsia="en-US"/>
        </w:rPr>
      </w:pPr>
      <w:r w:rsidRPr="00F46291">
        <w:rPr>
          <w:rFonts w:ascii="Calibri" w:eastAsia="Times New Roman" w:hAnsi="Calibri" w:cs="Helvetica"/>
          <w:b/>
          <w:bCs/>
          <w:color w:val="333333"/>
          <w:sz w:val="22"/>
          <w:szCs w:val="22"/>
          <w:lang w:eastAsia="en-US"/>
        </w:rPr>
        <w:br w:type="page"/>
      </w:r>
      <w:r w:rsidR="00445D8F" w:rsidRPr="00F46291">
        <w:rPr>
          <w:rFonts w:ascii="Calibri" w:eastAsia="Times New Roman" w:hAnsi="Calibri" w:cs="Helvetica"/>
          <w:b/>
          <w:bCs/>
          <w:color w:val="333333"/>
          <w:sz w:val="22"/>
          <w:szCs w:val="22"/>
          <w:lang w:eastAsia="en-US"/>
        </w:rPr>
        <w:lastRenderedPageBreak/>
        <w:t>Financial Reporting Requirements</w:t>
      </w:r>
    </w:p>
    <w:p w14:paraId="201EE93A" w14:textId="77777777" w:rsidR="00C60B23" w:rsidRPr="00F46291" w:rsidRDefault="00C60B23" w:rsidP="00EC0271">
      <w:pPr>
        <w:jc w:val="both"/>
        <w:rPr>
          <w:rFonts w:ascii="Calibri" w:eastAsia="Times New Roman" w:hAnsi="Calibri" w:cs="Helvetica"/>
          <w:color w:val="333333"/>
          <w:sz w:val="22"/>
          <w:szCs w:val="22"/>
          <w:lang w:eastAsia="en-US"/>
        </w:rPr>
      </w:pPr>
    </w:p>
    <w:p w14:paraId="31B1BA05" w14:textId="3B574A3D"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Accounting for proprie</w:t>
      </w:r>
      <w:r w:rsidR="00B81CD9">
        <w:rPr>
          <w:rFonts w:ascii="Calibri" w:eastAsia="Times New Roman" w:hAnsi="Calibri" w:cs="Helvetica"/>
          <w:color w:val="333333"/>
          <w:sz w:val="22"/>
          <w:szCs w:val="22"/>
          <w:lang w:eastAsia="en-US"/>
        </w:rPr>
        <w:t>tary funds is similar to an</w:t>
      </w:r>
      <w:r w:rsidRPr="00F46291">
        <w:rPr>
          <w:rFonts w:ascii="Calibri" w:eastAsia="Times New Roman" w:hAnsi="Calibri" w:cs="Helvetica"/>
          <w:color w:val="333333"/>
          <w:sz w:val="22"/>
          <w:szCs w:val="22"/>
          <w:lang w:eastAsia="en-US"/>
        </w:rPr>
        <w:t xml:space="preserve"> investor-owned business enterprises of the same type. An enterprise fund established to account for a government-owned electric utility, for example, should follow accounting principles similar to those of investor-owned electric utilities. Accordingly, proprietary funds focus on the flow of economic resources recognized on the accrual basis, both within the fund and at the government-wide level. Thus, these funds account for all capital assets used in their operations and for all long-term liabilities to be paid from the revenues generated from their operations, as well as for all current assets, current liabilities, and deferred inflows and outflows, if applicable. </w:t>
      </w:r>
    </w:p>
    <w:p w14:paraId="175570CC"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218AE5DE" w14:textId="44212864"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Because proprietary funds follow business-type accounting principles, these funds prepare essentially the same financial statements that businesses do: a</w:t>
      </w:r>
      <w:r w:rsidR="00B81CD9">
        <w:rPr>
          <w:rFonts w:ascii="Calibri" w:eastAsia="Times New Roman" w:hAnsi="Calibri" w:cs="Helvetica"/>
          <w:color w:val="333333"/>
          <w:sz w:val="22"/>
          <w:szCs w:val="22"/>
          <w:lang w:eastAsia="en-US"/>
        </w:rPr>
        <w:t xml:space="preserve"> balance sheet (os </w:t>
      </w:r>
      <w:r w:rsidRPr="00F46291">
        <w:rPr>
          <w:rFonts w:ascii="Calibri" w:eastAsia="Times New Roman" w:hAnsi="Calibri" w:cs="Helvetica"/>
          <w:color w:val="333333"/>
          <w:sz w:val="22"/>
          <w:szCs w:val="22"/>
          <w:lang w:eastAsia="en-US"/>
        </w:rPr>
        <w:t>statement of</w:t>
      </w:r>
      <w:r w:rsidR="00B81CD9">
        <w:rPr>
          <w:rFonts w:ascii="Calibri" w:eastAsia="Times New Roman" w:hAnsi="Calibri" w:cs="Helvetica"/>
          <w:color w:val="333333"/>
          <w:sz w:val="22"/>
          <w:szCs w:val="22"/>
          <w:lang w:eastAsia="en-US"/>
        </w:rPr>
        <w:t xml:space="preserve"> net position</w:t>
      </w:r>
      <w:r w:rsidRPr="00F46291">
        <w:rPr>
          <w:rFonts w:ascii="Calibri" w:eastAsia="Times New Roman" w:hAnsi="Calibri" w:cs="Helvetica"/>
          <w:color w:val="333333"/>
          <w:sz w:val="22"/>
          <w:szCs w:val="22"/>
          <w:lang w:eastAsia="en-US"/>
        </w:rPr>
        <w:t xml:space="preserve">); a statement of revenues, expenses, and changes in fund net position (equivalent to an income statement); and a statement of cash flows. These statements are prepared </w:t>
      </w:r>
      <w:r w:rsidR="00B81CD9" w:rsidRPr="00F46291">
        <w:rPr>
          <w:rFonts w:ascii="Calibri" w:eastAsia="Times New Roman" w:hAnsi="Calibri" w:cs="Helvetica"/>
          <w:color w:val="333333"/>
          <w:sz w:val="22"/>
          <w:szCs w:val="22"/>
          <w:lang w:eastAsia="en-US"/>
        </w:rPr>
        <w:t>per</w:t>
      </w:r>
      <w:r w:rsidRPr="00F46291">
        <w:rPr>
          <w:rFonts w:ascii="Calibri" w:eastAsia="Times New Roman" w:hAnsi="Calibri" w:cs="Helvetica"/>
          <w:color w:val="333333"/>
          <w:sz w:val="22"/>
          <w:szCs w:val="22"/>
          <w:lang w:eastAsia="en-US"/>
        </w:rPr>
        <w:t xml:space="preserve"> GASB standards, which differ in some respects from the statements identified by FASB for business organizations.</w:t>
      </w:r>
    </w:p>
    <w:p w14:paraId="0DDBF251" w14:textId="755819C1"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21865DC2" w14:textId="1EA64DBD" w:rsidR="00445D8F" w:rsidRPr="00F46291" w:rsidRDefault="00445D8F" w:rsidP="00EC0271">
      <w:pPr>
        <w:jc w:val="both"/>
        <w:rPr>
          <w:rFonts w:ascii="Calibri" w:eastAsia="Times New Roman" w:hAnsi="Calibri" w:cs="Helvetica"/>
          <w:b/>
          <w:bCs/>
          <w:iCs/>
          <w:color w:val="333333"/>
          <w:sz w:val="22"/>
          <w:szCs w:val="22"/>
          <w:lang w:eastAsia="en-US"/>
        </w:rPr>
      </w:pPr>
      <w:r w:rsidRPr="00F46291">
        <w:rPr>
          <w:rFonts w:ascii="Calibri" w:eastAsia="Times New Roman" w:hAnsi="Calibri" w:cs="Helvetica"/>
          <w:b/>
          <w:bCs/>
          <w:iCs/>
          <w:color w:val="333333"/>
          <w:sz w:val="22"/>
          <w:szCs w:val="22"/>
          <w:lang w:eastAsia="en-US"/>
        </w:rPr>
        <w:t>Statement of Net Position</w:t>
      </w:r>
    </w:p>
    <w:p w14:paraId="6D00FE62" w14:textId="77777777" w:rsidR="00445D8F" w:rsidRPr="00F46291" w:rsidRDefault="00445D8F" w:rsidP="00EC0271">
      <w:pPr>
        <w:jc w:val="both"/>
        <w:rPr>
          <w:rFonts w:ascii="Calibri" w:eastAsia="Times New Roman" w:hAnsi="Calibri" w:cs="Helvetica"/>
          <w:color w:val="333333"/>
          <w:sz w:val="22"/>
          <w:szCs w:val="22"/>
          <w:lang w:eastAsia="en-US"/>
        </w:rPr>
      </w:pPr>
    </w:p>
    <w:p w14:paraId="49561534"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For proprietary funds, governments generally present a statement of net position in a format that displays assets, plus deferred outflows of resources, less liabilities, less deferred inflows of resources, equals net position. </w:t>
      </w:r>
    </w:p>
    <w:p w14:paraId="6FA81FEE"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2D9C6DF1"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Similar to profit-seeking businesses, the statement of net position (or a traditional balance sheet) for proprietary funds is classified; that is, current assets are shown separately from capital assets and other assets, and current liabilities are shown separately from long-term debt. Additionally, current assets are listed in the order of liquidity. </w:t>
      </w:r>
    </w:p>
    <w:p w14:paraId="4F6B5415"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013A9A25"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If applicable, deferred outflows of resources should be reported in a separate section following assets and deferred inflows of resources should be reported in a separate section following liabilities. </w:t>
      </w:r>
    </w:p>
    <w:p w14:paraId="0DFF0A64"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12C699A6"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Unlike businesses, there is no owners’ or stockholders’ equity section on the statement of net position. Instead, GASB standards require the reporting of net position, which is divided into three components: </w:t>
      </w:r>
      <w:r w:rsidRPr="00F46291">
        <w:rPr>
          <w:rFonts w:ascii="Calibri" w:eastAsia="Times New Roman" w:hAnsi="Calibri" w:cs="Helvetica"/>
          <w:b/>
          <w:color w:val="333333"/>
          <w:sz w:val="22"/>
          <w:szCs w:val="22"/>
          <w:lang w:eastAsia="en-US"/>
        </w:rPr>
        <w:t>net investment in capital assets</w:t>
      </w:r>
      <w:r w:rsidRPr="00F46291">
        <w:rPr>
          <w:rFonts w:ascii="Calibri" w:eastAsia="Times New Roman" w:hAnsi="Calibri" w:cs="Helvetica"/>
          <w:color w:val="333333"/>
          <w:sz w:val="22"/>
          <w:szCs w:val="22"/>
          <w:lang w:eastAsia="en-US"/>
        </w:rPr>
        <w:t xml:space="preserve">; </w:t>
      </w:r>
      <w:r w:rsidRPr="00F46291">
        <w:rPr>
          <w:rFonts w:ascii="Calibri" w:eastAsia="Times New Roman" w:hAnsi="Calibri" w:cs="Helvetica"/>
          <w:b/>
          <w:color w:val="333333"/>
          <w:sz w:val="22"/>
          <w:szCs w:val="22"/>
          <w:lang w:eastAsia="en-US"/>
        </w:rPr>
        <w:t>restricted</w:t>
      </w:r>
      <w:r w:rsidRPr="00F46291">
        <w:rPr>
          <w:rFonts w:ascii="Calibri" w:eastAsia="Times New Roman" w:hAnsi="Calibri" w:cs="Helvetica"/>
          <w:color w:val="333333"/>
          <w:sz w:val="22"/>
          <w:szCs w:val="22"/>
          <w:lang w:eastAsia="en-US"/>
        </w:rPr>
        <w:t xml:space="preserve"> (distinguishing among major categories of restrictions); and </w:t>
      </w:r>
      <w:r w:rsidRPr="00F46291">
        <w:rPr>
          <w:rFonts w:ascii="Calibri" w:eastAsia="Times New Roman" w:hAnsi="Calibri" w:cs="Helvetica"/>
          <w:b/>
          <w:color w:val="333333"/>
          <w:sz w:val="22"/>
          <w:szCs w:val="22"/>
          <w:lang w:eastAsia="en-US"/>
        </w:rPr>
        <w:t>unrestricted</w:t>
      </w:r>
      <w:r w:rsidRPr="00F46291">
        <w:rPr>
          <w:rFonts w:ascii="Calibri" w:eastAsia="Times New Roman" w:hAnsi="Calibri" w:cs="Helvetica"/>
          <w:color w:val="333333"/>
          <w:sz w:val="22"/>
          <w:szCs w:val="22"/>
          <w:lang w:eastAsia="en-US"/>
        </w:rPr>
        <w:t>. </w:t>
      </w:r>
    </w:p>
    <w:p w14:paraId="616630EA"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53B244E9" w14:textId="77777777" w:rsidR="00445D8F" w:rsidRPr="00F46291" w:rsidRDefault="00445D8F" w:rsidP="00EC0271">
      <w:pPr>
        <w:spacing w:line="255" w:lineRule="atLeast"/>
        <w:jc w:val="both"/>
        <w:rPr>
          <w:rFonts w:ascii="Calibri" w:eastAsia="Times New Roman" w:hAnsi="Calibri" w:cs="Helvetica"/>
          <w:b/>
          <w:color w:val="333333"/>
          <w:sz w:val="22"/>
          <w:szCs w:val="22"/>
          <w:lang w:eastAsia="en-US"/>
        </w:rPr>
      </w:pPr>
      <w:r w:rsidRPr="00F46291">
        <w:rPr>
          <w:rFonts w:ascii="Calibri" w:eastAsia="Times New Roman" w:hAnsi="Calibri" w:cs="Helvetica"/>
          <w:b/>
          <w:color w:val="333333"/>
          <w:sz w:val="22"/>
          <w:szCs w:val="22"/>
          <w:lang w:eastAsia="en-US"/>
        </w:rPr>
        <w:t xml:space="preserve">Net investment in capital assets is calculated as the total of gross capital assets, net of accumulated depreciation, less any outstanding debt related to the acquisition or construction of capital assets. </w:t>
      </w:r>
    </w:p>
    <w:p w14:paraId="53169AAF"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62012BE5"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Restricted net position represents net resources with restrictions on use imposed by law or external parties. For example, if a bond is issued for construction of a capital asset, but is unspent at year-end, the proceeds from the bond would be considered restricted net position. </w:t>
      </w:r>
    </w:p>
    <w:p w14:paraId="52382A5B"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3AC7A13C" w14:textId="25F20F0D"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Unrestricted net position represents the residual amount of net position after separately identifying net investment in capital assets and restricted net position.</w:t>
      </w:r>
    </w:p>
    <w:p w14:paraId="46AA3FE2" w14:textId="77777777" w:rsidR="00445D8F" w:rsidRPr="00F46291" w:rsidRDefault="00445D8F" w:rsidP="00EC0271">
      <w:pPr>
        <w:jc w:val="both"/>
        <w:rPr>
          <w:rFonts w:ascii="Calibri" w:eastAsia="Times New Roman" w:hAnsi="Calibri" w:cs="Helvetica"/>
          <w:color w:val="333333"/>
          <w:sz w:val="22"/>
          <w:szCs w:val="22"/>
          <w:lang w:eastAsia="en-US"/>
        </w:rPr>
      </w:pPr>
    </w:p>
    <w:p w14:paraId="5836DBC6" w14:textId="43BE77ED" w:rsidR="00445D8F" w:rsidRPr="00F46291" w:rsidRDefault="0064516A" w:rsidP="00EC0271">
      <w:pPr>
        <w:jc w:val="both"/>
        <w:rPr>
          <w:rFonts w:ascii="Calibri" w:eastAsia="Times New Roman" w:hAnsi="Calibri" w:cs="Helvetica"/>
          <w:color w:val="333333"/>
          <w:sz w:val="22"/>
          <w:szCs w:val="22"/>
          <w:lang w:eastAsia="en-US"/>
        </w:rPr>
      </w:pPr>
      <w:r w:rsidRPr="00F46291">
        <w:rPr>
          <w:rFonts w:ascii="Calibri" w:eastAsia="Times New Roman" w:hAnsi="Calibri" w:cs="Helvetica"/>
          <w:b/>
          <w:bCs/>
          <w:iCs/>
          <w:color w:val="333333"/>
          <w:sz w:val="22"/>
          <w:szCs w:val="22"/>
          <w:lang w:eastAsia="en-US"/>
        </w:rPr>
        <w:br w:type="page"/>
      </w:r>
      <w:r w:rsidR="00445D8F" w:rsidRPr="00F46291">
        <w:rPr>
          <w:rFonts w:ascii="Calibri" w:eastAsia="Times New Roman" w:hAnsi="Calibri" w:cs="Helvetica"/>
          <w:b/>
          <w:bCs/>
          <w:iCs/>
          <w:color w:val="333333"/>
          <w:sz w:val="22"/>
          <w:szCs w:val="22"/>
          <w:lang w:eastAsia="en-US"/>
        </w:rPr>
        <w:lastRenderedPageBreak/>
        <w:t>Statement of Revenues, Expenses, and Changes in Fund Net Position</w:t>
      </w:r>
    </w:p>
    <w:p w14:paraId="08939196"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22844C54"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The period results of operations for a proprietary fund should be reported in a statement of revenues, expenses, and changes in fund net position, which is similar to the income statement of a profit-seeking business. </w:t>
      </w:r>
    </w:p>
    <w:p w14:paraId="7CA05E37"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405E10A5"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GASB standards state that revenues are to be reported by major revenue source, with revenues used as security for revenue bonds identified. </w:t>
      </w:r>
    </w:p>
    <w:p w14:paraId="289690F7" w14:textId="77777777" w:rsidR="0064516A" w:rsidRPr="00F46291" w:rsidRDefault="0064516A" w:rsidP="00EC0271">
      <w:pPr>
        <w:spacing w:line="255" w:lineRule="atLeast"/>
        <w:jc w:val="both"/>
        <w:rPr>
          <w:rFonts w:ascii="Calibri" w:eastAsia="Times New Roman" w:hAnsi="Calibri" w:cs="Helvetica"/>
          <w:color w:val="333333"/>
          <w:sz w:val="22"/>
          <w:szCs w:val="22"/>
          <w:lang w:eastAsia="en-US"/>
        </w:rPr>
      </w:pPr>
    </w:p>
    <w:p w14:paraId="6B39CD57" w14:textId="2B6E038C"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Unlike FASB standards, GASB standards also indicate that revenues should be shown net of any discounts or allowances. For example, rather than reporting bad debt expense, proprietary funds would record and report a contra-revenue account, such as Provision for Bad Debts</w:t>
      </w:r>
      <w:r w:rsidR="0064516A" w:rsidRPr="00F46291">
        <w:rPr>
          <w:rFonts w:ascii="Calibri" w:eastAsia="Times New Roman" w:hAnsi="Calibri" w:cs="Helvetica"/>
          <w:color w:val="333333"/>
          <w:sz w:val="22"/>
          <w:szCs w:val="22"/>
          <w:lang w:eastAsia="en-US"/>
        </w:rPr>
        <w:t xml:space="preserve"> or Uncollectible Accounts</w:t>
      </w:r>
      <w:r w:rsidRPr="00F46291">
        <w:rPr>
          <w:rFonts w:ascii="Calibri" w:eastAsia="Times New Roman" w:hAnsi="Calibri" w:cs="Helvetica"/>
          <w:color w:val="333333"/>
          <w:sz w:val="22"/>
          <w:szCs w:val="22"/>
          <w:lang w:eastAsia="en-US"/>
        </w:rPr>
        <w:t xml:space="preserve">, which would be netted against the Revenues account in the financial report. </w:t>
      </w:r>
    </w:p>
    <w:p w14:paraId="09341DEC"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75B96FAB" w14:textId="441DF7C3"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In the statement of revenues, expenses, and changes in fund net position, revenues and expenses are to be identified as operating or non</w:t>
      </w:r>
      <w:r w:rsidR="0064516A" w:rsidRPr="00F46291">
        <w:rPr>
          <w:rFonts w:ascii="Calibri" w:eastAsia="Times New Roman" w:hAnsi="Calibri" w:cs="Helvetica"/>
          <w:color w:val="333333"/>
          <w:sz w:val="22"/>
          <w:szCs w:val="22"/>
          <w:lang w:eastAsia="en-US"/>
        </w:rPr>
        <w:t>-</w:t>
      </w:r>
      <w:r w:rsidRPr="00F46291">
        <w:rPr>
          <w:rFonts w:ascii="Calibri" w:eastAsia="Times New Roman" w:hAnsi="Calibri" w:cs="Helvetica"/>
          <w:color w:val="333333"/>
          <w:sz w:val="22"/>
          <w:szCs w:val="22"/>
          <w:lang w:eastAsia="en-US"/>
        </w:rPr>
        <w:t xml:space="preserve">operating, with subtotals for operating revenues, operating expenses, and operating income. </w:t>
      </w:r>
    </w:p>
    <w:p w14:paraId="7CAE40E5"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2B780F48"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Operating revenues and expenses are those related to the primary functions of the proprietary fund. Management judgment is necessary when defining which revenues and expenses are primary to the operations of the fund. </w:t>
      </w:r>
    </w:p>
    <w:p w14:paraId="506D8503"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4B9A17D7" w14:textId="58ED702A"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The distinction between operating and non</w:t>
      </w:r>
      <w:r w:rsidR="00C60B23" w:rsidRPr="00F46291">
        <w:rPr>
          <w:rFonts w:ascii="Calibri" w:eastAsia="Times New Roman" w:hAnsi="Calibri" w:cs="Helvetica"/>
          <w:color w:val="333333"/>
          <w:sz w:val="22"/>
          <w:szCs w:val="22"/>
          <w:lang w:eastAsia="en-US"/>
        </w:rPr>
        <w:t>-</w:t>
      </w:r>
      <w:r w:rsidRPr="00F46291">
        <w:rPr>
          <w:rFonts w:ascii="Calibri" w:eastAsia="Times New Roman" w:hAnsi="Calibri" w:cs="Helvetica"/>
          <w:color w:val="333333"/>
          <w:sz w:val="22"/>
          <w:szCs w:val="22"/>
          <w:lang w:eastAsia="en-US"/>
        </w:rPr>
        <w:t>operating revenues and expenses is important for achieving effective management control, as well as for complying with GASB requirements. If inter</w:t>
      </w:r>
      <w:r w:rsidR="008566F6">
        <w:rPr>
          <w:rFonts w:ascii="Calibri" w:eastAsia="Times New Roman" w:hAnsi="Calibri" w:cs="Helvetica"/>
          <w:color w:val="333333"/>
          <w:sz w:val="22"/>
          <w:szCs w:val="22"/>
          <w:lang w:eastAsia="en-US"/>
        </w:rPr>
        <w:t>-</w:t>
      </w:r>
      <w:r w:rsidRPr="00F46291">
        <w:rPr>
          <w:rFonts w:ascii="Calibri" w:eastAsia="Times New Roman" w:hAnsi="Calibri" w:cs="Helvetica"/>
          <w:color w:val="333333"/>
          <w:sz w:val="22"/>
          <w:szCs w:val="22"/>
          <w:lang w:eastAsia="en-US"/>
        </w:rPr>
        <w:t>fund transfers, special items, extraordinary items, or capital contributions are also reported in the statement of revenues, expenses, and changes in fund net position they appear after the Nonoperating Revenues/Expenses section.</w:t>
      </w:r>
    </w:p>
    <w:p w14:paraId="7F24AB6C"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719175EF" w14:textId="76C706DE" w:rsidR="00445D8F" w:rsidRPr="00F46291" w:rsidRDefault="00445D8F" w:rsidP="00EC0271">
      <w:pPr>
        <w:jc w:val="both"/>
        <w:rPr>
          <w:rFonts w:ascii="Calibri" w:eastAsia="Times New Roman" w:hAnsi="Calibri" w:cs="Helvetica"/>
          <w:b/>
          <w:bCs/>
          <w:iCs/>
          <w:color w:val="333333"/>
          <w:sz w:val="22"/>
          <w:szCs w:val="22"/>
          <w:lang w:eastAsia="en-US"/>
        </w:rPr>
      </w:pPr>
      <w:r w:rsidRPr="00F46291">
        <w:rPr>
          <w:rFonts w:ascii="Calibri" w:eastAsia="Times New Roman" w:hAnsi="Calibri" w:cs="Helvetica"/>
          <w:b/>
          <w:bCs/>
          <w:iCs/>
          <w:color w:val="333333"/>
          <w:sz w:val="22"/>
          <w:szCs w:val="22"/>
          <w:lang w:eastAsia="en-US"/>
        </w:rPr>
        <w:t>Statement of Cash Flows</w:t>
      </w:r>
    </w:p>
    <w:p w14:paraId="4C5F7672" w14:textId="77777777" w:rsidR="00445D8F" w:rsidRPr="00F46291" w:rsidRDefault="00445D8F" w:rsidP="00EC0271">
      <w:pPr>
        <w:jc w:val="both"/>
        <w:rPr>
          <w:rFonts w:ascii="Calibri" w:eastAsia="Times New Roman" w:hAnsi="Calibri" w:cs="Helvetica"/>
          <w:color w:val="333333"/>
          <w:sz w:val="22"/>
          <w:szCs w:val="22"/>
          <w:lang w:eastAsia="en-US"/>
        </w:rPr>
      </w:pPr>
    </w:p>
    <w:p w14:paraId="528E4A6B"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GASB financial reporting standards require the preparation of a statement of cash flows as a part of the full set of financial statements for all proprietary funds. </w:t>
      </w:r>
    </w:p>
    <w:p w14:paraId="1B76B3AB"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74664210" w14:textId="5CA0C3A0"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Unlike FASB, GASB requires the statement to be prepared using the direct method of presentation. </w:t>
      </w:r>
    </w:p>
    <w:p w14:paraId="7C89054A" w14:textId="77777777" w:rsidR="00445D8F" w:rsidRPr="00F46291" w:rsidRDefault="00445D8F" w:rsidP="00EC0271">
      <w:pPr>
        <w:spacing w:line="255" w:lineRule="atLeast"/>
        <w:jc w:val="both"/>
        <w:rPr>
          <w:rFonts w:ascii="Calibri" w:eastAsia="Times New Roman" w:hAnsi="Calibri" w:cs="Helvetica"/>
          <w:color w:val="333333"/>
          <w:sz w:val="22"/>
          <w:szCs w:val="22"/>
          <w:lang w:eastAsia="en-US"/>
        </w:rPr>
      </w:pPr>
    </w:p>
    <w:p w14:paraId="0D433737" w14:textId="2908616E" w:rsidR="00445D8F" w:rsidRPr="00F46291" w:rsidRDefault="00445D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Categories of cash flows provided by FASB </w:t>
      </w:r>
      <w:r w:rsidRPr="00F46291">
        <w:rPr>
          <w:rFonts w:ascii="Calibri" w:eastAsia="Times New Roman" w:hAnsi="Calibri" w:cs="Helvetica"/>
          <w:iCs/>
          <w:color w:val="333333"/>
          <w:sz w:val="22"/>
          <w:szCs w:val="22"/>
          <w:lang w:eastAsia="en-US"/>
        </w:rPr>
        <w:t>ASC</w:t>
      </w:r>
      <w:r w:rsidRPr="00F46291">
        <w:rPr>
          <w:rFonts w:ascii="Calibri" w:eastAsia="Times New Roman" w:hAnsi="Calibri" w:cs="Helvetica"/>
          <w:color w:val="333333"/>
          <w:sz w:val="22"/>
          <w:szCs w:val="22"/>
          <w:lang w:eastAsia="en-US"/>
        </w:rPr>
        <w:t xml:space="preserve"> 230 were deemed insufficient to meet the needs of users of governmental financial reports. Consequently, GASB standards provide four categories of cash flows: operating, noncapital financing, capital and related financing, and investing. </w:t>
      </w:r>
    </w:p>
    <w:p w14:paraId="42D6B8F5" w14:textId="27835574" w:rsidR="00C60B23" w:rsidRPr="00F46291" w:rsidRDefault="00C60B23" w:rsidP="00EC0271">
      <w:pPr>
        <w:spacing w:line="255" w:lineRule="atLeast"/>
        <w:jc w:val="both"/>
        <w:rPr>
          <w:rFonts w:ascii="Calibri" w:eastAsia="Times New Roman" w:hAnsi="Calibri" w:cs="Helvetica"/>
          <w:color w:val="333333"/>
          <w:sz w:val="22"/>
          <w:szCs w:val="22"/>
          <w:lang w:eastAsia="en-US"/>
        </w:rPr>
      </w:pPr>
    </w:p>
    <w:p w14:paraId="4D7AD842" w14:textId="20840D85" w:rsidR="00C60B23" w:rsidRPr="00F46291" w:rsidRDefault="00C60B23" w:rsidP="00EC0271">
      <w:pPr>
        <w:jc w:val="both"/>
        <w:rPr>
          <w:rFonts w:ascii="Calibri" w:eastAsia="Times New Roman" w:hAnsi="Calibri" w:cs="Helvetica"/>
          <w:b/>
          <w:bCs/>
          <w:iCs/>
          <w:color w:val="333333"/>
          <w:sz w:val="22"/>
          <w:szCs w:val="22"/>
          <w:lang w:eastAsia="en-US"/>
        </w:rPr>
      </w:pPr>
      <w:r w:rsidRPr="00F46291">
        <w:rPr>
          <w:rFonts w:ascii="Calibri" w:eastAsia="Times New Roman" w:hAnsi="Calibri" w:cs="Helvetica"/>
          <w:b/>
          <w:bCs/>
          <w:iCs/>
          <w:color w:val="333333"/>
          <w:sz w:val="22"/>
          <w:szCs w:val="22"/>
          <w:lang w:eastAsia="en-US"/>
        </w:rPr>
        <w:t>Budgetary Comparison Schedule</w:t>
      </w:r>
    </w:p>
    <w:p w14:paraId="05077C4A" w14:textId="77777777" w:rsidR="00C60B23" w:rsidRPr="00F46291" w:rsidRDefault="00C60B23" w:rsidP="00EC0271">
      <w:pPr>
        <w:jc w:val="both"/>
        <w:rPr>
          <w:rFonts w:ascii="Calibri" w:eastAsia="Times New Roman" w:hAnsi="Calibri"/>
          <w:sz w:val="22"/>
          <w:szCs w:val="22"/>
          <w:lang w:eastAsia="en-US"/>
        </w:rPr>
      </w:pPr>
    </w:p>
    <w:p w14:paraId="7CC72853" w14:textId="420C10C3" w:rsidR="00C60B23" w:rsidRPr="00F46291" w:rsidRDefault="00C60B23"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Unlike the General Fund and other major governmental funds for which a budget is legally adopted, proprietary funds are not required by GASB standards to record budgets in their accounting systems, nor are they required to present a budgetary comparison schedule. </w:t>
      </w:r>
    </w:p>
    <w:p w14:paraId="63EBD57D" w14:textId="77777777" w:rsidR="00C60B23" w:rsidRPr="00F46291" w:rsidRDefault="00C60B23" w:rsidP="00EC0271">
      <w:pPr>
        <w:spacing w:line="255" w:lineRule="atLeast"/>
        <w:jc w:val="both"/>
        <w:rPr>
          <w:rFonts w:ascii="Calibri" w:eastAsia="Times New Roman" w:hAnsi="Calibri" w:cs="Helvetica"/>
          <w:color w:val="333333"/>
          <w:sz w:val="22"/>
          <w:szCs w:val="22"/>
          <w:lang w:eastAsia="en-US"/>
        </w:rPr>
      </w:pPr>
    </w:p>
    <w:p w14:paraId="08DA2DF8" w14:textId="3201AD55" w:rsidR="00C60B23" w:rsidRPr="00F46291" w:rsidRDefault="0064516A" w:rsidP="00EC0271">
      <w:pPr>
        <w:jc w:val="both"/>
        <w:rPr>
          <w:rFonts w:ascii="Calibri" w:eastAsia="Times New Roman" w:hAnsi="Calibri" w:cs="Helvetica"/>
          <w:b/>
          <w:bCs/>
          <w:sz w:val="22"/>
          <w:szCs w:val="22"/>
          <w:lang w:eastAsia="en-US"/>
        </w:rPr>
      </w:pPr>
      <w:r w:rsidRPr="00F46291">
        <w:rPr>
          <w:rFonts w:ascii="Calibri" w:eastAsia="Times New Roman" w:hAnsi="Calibri" w:cs="Helvetica"/>
          <w:b/>
          <w:bCs/>
          <w:sz w:val="22"/>
          <w:szCs w:val="22"/>
          <w:lang w:eastAsia="en-US"/>
        </w:rPr>
        <w:br w:type="page"/>
      </w:r>
      <w:r w:rsidR="00C60B23" w:rsidRPr="00F46291">
        <w:rPr>
          <w:rFonts w:ascii="Calibri" w:eastAsia="Times New Roman" w:hAnsi="Calibri" w:cs="Helvetica"/>
          <w:b/>
          <w:bCs/>
          <w:sz w:val="22"/>
          <w:szCs w:val="22"/>
          <w:lang w:eastAsia="en-US"/>
        </w:rPr>
        <w:lastRenderedPageBreak/>
        <w:t>INTERNAL SERVICE FUNDS</w:t>
      </w:r>
    </w:p>
    <w:p w14:paraId="05637006" w14:textId="77777777" w:rsidR="0064516A" w:rsidRPr="00F46291" w:rsidRDefault="0064516A" w:rsidP="00EC0271">
      <w:pPr>
        <w:jc w:val="both"/>
        <w:rPr>
          <w:rFonts w:ascii="Calibri" w:eastAsia="Times New Roman" w:hAnsi="Calibri" w:cs="Helvetica"/>
          <w:sz w:val="22"/>
          <w:szCs w:val="22"/>
          <w:lang w:eastAsia="en-US"/>
        </w:rPr>
      </w:pPr>
    </w:p>
    <w:p w14:paraId="6E3DD97B" w14:textId="77777777" w:rsidR="00761C85" w:rsidRDefault="00C60B23"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Internal service funds are established to improve financial management of governmental resources; yet, it is important to remember that establishment of a fund is ordinarily subject to legislative approval. The ordinance or other legislative action that authorizes the establishment of an internal service fund should also specify the source or sources of financial resources to be used for fund operations. </w:t>
      </w:r>
    </w:p>
    <w:p w14:paraId="4AEAF916" w14:textId="77777777" w:rsidR="00761C85" w:rsidRDefault="00761C85" w:rsidP="00EC0271">
      <w:pPr>
        <w:spacing w:line="255" w:lineRule="atLeast"/>
        <w:jc w:val="both"/>
        <w:rPr>
          <w:rFonts w:ascii="Calibri" w:eastAsia="Times New Roman" w:hAnsi="Calibri" w:cs="Helvetica"/>
          <w:color w:val="333333"/>
          <w:sz w:val="22"/>
          <w:szCs w:val="22"/>
          <w:lang w:eastAsia="en-US"/>
        </w:rPr>
      </w:pPr>
    </w:p>
    <w:p w14:paraId="3522482E" w14:textId="7BF6ECE5" w:rsidR="00C60B23" w:rsidRPr="00F46291" w:rsidRDefault="00C60B23"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For example, to start up an internal service fund, the General Fund or an enterprise fund may </w:t>
      </w:r>
      <w:r w:rsidRPr="00F46291">
        <w:rPr>
          <w:rFonts w:ascii="Calibri" w:eastAsia="Times New Roman" w:hAnsi="Calibri" w:cs="Helvetica"/>
          <w:iCs/>
          <w:color w:val="333333"/>
          <w:sz w:val="22"/>
          <w:szCs w:val="22"/>
          <w:lang w:eastAsia="en-US"/>
        </w:rPr>
        <w:t>contribute</w:t>
      </w:r>
      <w:r w:rsidRPr="00F46291">
        <w:rPr>
          <w:rFonts w:ascii="Calibri" w:eastAsia="Times New Roman" w:hAnsi="Calibri" w:cs="Helvetica"/>
          <w:color w:val="333333"/>
          <w:sz w:val="22"/>
          <w:szCs w:val="22"/>
          <w:lang w:eastAsia="en-US"/>
        </w:rPr>
        <w:t> assets to the fund, or the internal service fund may receive the assets in the form of a long-term </w:t>
      </w:r>
      <w:r w:rsidRPr="00F46291">
        <w:rPr>
          <w:rFonts w:ascii="Calibri" w:eastAsia="Times New Roman" w:hAnsi="Calibri" w:cs="Helvetica"/>
          <w:iCs/>
          <w:color w:val="333333"/>
          <w:sz w:val="22"/>
          <w:szCs w:val="22"/>
          <w:lang w:eastAsia="en-US"/>
        </w:rPr>
        <w:t>inter</w:t>
      </w:r>
      <w:r w:rsidR="00761C85">
        <w:rPr>
          <w:rFonts w:ascii="Calibri" w:eastAsia="Times New Roman" w:hAnsi="Calibri" w:cs="Helvetica"/>
          <w:iCs/>
          <w:color w:val="333333"/>
          <w:sz w:val="22"/>
          <w:szCs w:val="22"/>
          <w:lang w:eastAsia="en-US"/>
        </w:rPr>
        <w:t>-</w:t>
      </w:r>
      <w:r w:rsidRPr="00F46291">
        <w:rPr>
          <w:rFonts w:ascii="Calibri" w:eastAsia="Times New Roman" w:hAnsi="Calibri" w:cs="Helvetica"/>
          <w:iCs/>
          <w:color w:val="333333"/>
          <w:sz w:val="22"/>
          <w:szCs w:val="22"/>
          <w:lang w:eastAsia="en-US"/>
        </w:rPr>
        <w:t>fund loan</w:t>
      </w:r>
      <w:r w:rsidRPr="00F46291">
        <w:rPr>
          <w:rFonts w:ascii="Calibri" w:eastAsia="Times New Roman" w:hAnsi="Calibri" w:cs="Helvetica"/>
          <w:color w:val="333333"/>
          <w:sz w:val="22"/>
          <w:szCs w:val="22"/>
          <w:lang w:eastAsia="en-US"/>
        </w:rPr>
        <w:t> to be repaid over a number of years. Alternatively, the resources initially allocated to an internal service fund may be acquired from the proceeds of a tax-supported bond issue or by transfer from other governments that anticipate utilizing the services to be rendered by the internal service fund. Since internal service funds are established to improve the management of resources, it is generally considered that their accounting and operations should be maintained on a business basis.</w:t>
      </w:r>
    </w:p>
    <w:p w14:paraId="27FEBCC7" w14:textId="77777777" w:rsidR="00C70A8F" w:rsidRPr="00F46291" w:rsidRDefault="00C70A8F" w:rsidP="00EC0271">
      <w:pPr>
        <w:spacing w:line="255" w:lineRule="atLeast"/>
        <w:jc w:val="both"/>
        <w:rPr>
          <w:rFonts w:ascii="Calibri" w:eastAsia="Times New Roman" w:hAnsi="Calibri" w:cs="Helvetica"/>
          <w:color w:val="333333"/>
          <w:sz w:val="22"/>
          <w:szCs w:val="22"/>
          <w:lang w:eastAsia="en-US"/>
        </w:rPr>
      </w:pPr>
    </w:p>
    <w:p w14:paraId="227CC459" w14:textId="7BC6C8BB" w:rsidR="00C70A8F" w:rsidRPr="00F46291" w:rsidRDefault="00C70A8F" w:rsidP="00EC0271">
      <w:pPr>
        <w:tabs>
          <w:tab w:val="left" w:pos="0"/>
        </w:tabs>
        <w:jc w:val="both"/>
        <w:rPr>
          <w:rFonts w:ascii="Calibri" w:hAnsi="Calibri" w:cs="Helvetica"/>
          <w:color w:val="333333"/>
          <w:sz w:val="22"/>
          <w:szCs w:val="22"/>
        </w:rPr>
      </w:pPr>
      <w:r w:rsidRPr="00F46291">
        <w:rPr>
          <w:rFonts w:ascii="Calibri" w:hAnsi="Calibri" w:cs="Helvetica"/>
          <w:color w:val="333333"/>
          <w:sz w:val="22"/>
          <w:szCs w:val="22"/>
        </w:rPr>
        <w:t>Managers of internal service funds must prepare operating plans—budgets—as a management tool. Th</w:t>
      </w:r>
      <w:r w:rsidR="00761C85">
        <w:rPr>
          <w:rFonts w:ascii="Calibri" w:hAnsi="Calibri" w:cs="Helvetica"/>
          <w:color w:val="333333"/>
          <w:sz w:val="22"/>
          <w:szCs w:val="22"/>
        </w:rPr>
        <w:t xml:space="preserve">e </w:t>
      </w:r>
      <w:r w:rsidRPr="00F46291">
        <w:rPr>
          <w:rFonts w:ascii="Calibri" w:hAnsi="Calibri" w:cs="Helvetica"/>
          <w:color w:val="333333"/>
          <w:sz w:val="22"/>
          <w:szCs w:val="22"/>
        </w:rPr>
        <w:t xml:space="preserve">budgets of internal service funds are submitted to the legislative body and to the public for information but not for legal action. </w:t>
      </w:r>
      <w:r w:rsidRPr="00E449E5">
        <w:rPr>
          <w:rFonts w:ascii="Calibri" w:hAnsi="Calibri" w:cs="Helvetica"/>
          <w:b/>
          <w:color w:val="333333"/>
          <w:sz w:val="22"/>
          <w:szCs w:val="22"/>
        </w:rPr>
        <w:t>Therefore, the budget is not formally recorded in internal service fund accounts.</w:t>
      </w:r>
      <w:r w:rsidRPr="00F46291">
        <w:rPr>
          <w:rFonts w:ascii="Calibri" w:hAnsi="Calibri" w:cs="Helvetica"/>
          <w:color w:val="333333"/>
          <w:sz w:val="22"/>
          <w:szCs w:val="22"/>
        </w:rPr>
        <w:t xml:space="preserve"> Similarly, managers of businesses must be kept informed of the status of outstanding purchase orders and contracts, but encumbrances need not be recorded in the accounts to accomplish this.</w:t>
      </w:r>
    </w:p>
    <w:p w14:paraId="76E81923" w14:textId="77777777" w:rsidR="00C70A8F" w:rsidRPr="00F46291" w:rsidRDefault="00C70A8F" w:rsidP="00EC0271">
      <w:pPr>
        <w:tabs>
          <w:tab w:val="left" w:pos="0"/>
        </w:tabs>
        <w:jc w:val="both"/>
        <w:rPr>
          <w:rStyle w:val="apple-converted-space"/>
          <w:rFonts w:ascii="Calibri" w:hAnsi="Calibri" w:cs="Helvetica"/>
          <w:color w:val="333333"/>
          <w:sz w:val="22"/>
          <w:szCs w:val="22"/>
        </w:rPr>
      </w:pPr>
    </w:p>
    <w:p w14:paraId="49F8CD11" w14:textId="445A736B" w:rsidR="008B1CDA" w:rsidRPr="00F46291" w:rsidRDefault="00C70A8F" w:rsidP="00EC0271">
      <w:pPr>
        <w:tabs>
          <w:tab w:val="left" w:pos="0"/>
        </w:tabs>
        <w:jc w:val="both"/>
        <w:rPr>
          <w:rFonts w:ascii="Calibri" w:hAnsi="Calibri" w:cs="Helvetica"/>
          <w:color w:val="333333"/>
          <w:sz w:val="22"/>
          <w:szCs w:val="22"/>
        </w:rPr>
      </w:pPr>
      <w:r w:rsidRPr="00F46291">
        <w:rPr>
          <w:rFonts w:ascii="Calibri" w:hAnsi="Calibri" w:cs="Helvetica"/>
          <w:color w:val="333333"/>
          <w:sz w:val="22"/>
          <w:szCs w:val="22"/>
        </w:rPr>
        <w:t>The internal service fund is generally reported as a part of the Governmental Activities column of the government-wide financial statements. To ensure that double counting of revenues, expenses, and other transactions does not occur, GASB standards require the elimination of the effect of transactions between governmental funds and internal service funds. Those activities involving a transaction between a governmental fund and an internal service fund are not recorded for governmental activities at the government-wide level.</w:t>
      </w:r>
    </w:p>
    <w:p w14:paraId="1897C12B" w14:textId="77777777" w:rsidR="00C70A8F" w:rsidRPr="00F46291" w:rsidRDefault="00C70A8F" w:rsidP="00EC0271">
      <w:pPr>
        <w:tabs>
          <w:tab w:val="left" w:pos="0"/>
        </w:tabs>
        <w:jc w:val="both"/>
        <w:rPr>
          <w:rFonts w:ascii="Calibri" w:hAnsi="Calibri" w:cs="Helvetica"/>
          <w:color w:val="333333"/>
          <w:sz w:val="22"/>
          <w:szCs w:val="22"/>
        </w:rPr>
      </w:pPr>
    </w:p>
    <w:p w14:paraId="1D957793" w14:textId="353A347D" w:rsidR="00C70A8F" w:rsidRPr="00F46291" w:rsidRDefault="00E449E5" w:rsidP="00EC0271">
      <w:pPr>
        <w:jc w:val="both"/>
        <w:rPr>
          <w:rFonts w:ascii="Calibri" w:eastAsia="Times New Roman" w:hAnsi="Calibri" w:cs="Helvetica"/>
          <w:b/>
          <w:bCs/>
          <w:color w:val="333333"/>
          <w:sz w:val="22"/>
          <w:szCs w:val="22"/>
          <w:lang w:eastAsia="en-US"/>
        </w:rPr>
      </w:pPr>
      <w:r>
        <w:rPr>
          <w:rFonts w:ascii="Calibri" w:eastAsia="Times New Roman" w:hAnsi="Calibri" w:cs="Helvetica"/>
          <w:b/>
          <w:bCs/>
          <w:color w:val="333333"/>
          <w:sz w:val="22"/>
          <w:szCs w:val="22"/>
          <w:lang w:eastAsia="en-US"/>
        </w:rPr>
        <w:br w:type="page"/>
      </w:r>
      <w:r w:rsidR="00C70A8F" w:rsidRPr="00F46291">
        <w:rPr>
          <w:rFonts w:ascii="Calibri" w:eastAsia="Times New Roman" w:hAnsi="Calibri" w:cs="Helvetica"/>
          <w:b/>
          <w:bCs/>
          <w:color w:val="333333"/>
          <w:sz w:val="22"/>
          <w:szCs w:val="22"/>
          <w:lang w:eastAsia="en-US"/>
        </w:rPr>
        <w:lastRenderedPageBreak/>
        <w:t>Special Topics Associated with Internal Service Funds</w:t>
      </w:r>
    </w:p>
    <w:p w14:paraId="55EECE0A" w14:textId="77777777" w:rsidR="00C70A8F" w:rsidRPr="00F46291" w:rsidRDefault="00C70A8F" w:rsidP="00EC0271">
      <w:pPr>
        <w:jc w:val="both"/>
        <w:rPr>
          <w:rFonts w:ascii="Calibri" w:eastAsia="Times New Roman" w:hAnsi="Calibri" w:cs="Helvetica"/>
          <w:color w:val="333333"/>
          <w:sz w:val="22"/>
          <w:szCs w:val="22"/>
          <w:lang w:eastAsia="en-US"/>
        </w:rPr>
      </w:pPr>
    </w:p>
    <w:p w14:paraId="0A18FE80" w14:textId="54FE0066" w:rsidR="00C70A8F" w:rsidRPr="00F46291" w:rsidRDefault="00C70A8F" w:rsidP="00EC0271">
      <w:pPr>
        <w:jc w:val="both"/>
        <w:rPr>
          <w:rFonts w:ascii="Calibri" w:eastAsia="Times New Roman" w:hAnsi="Calibri" w:cs="Helvetica"/>
          <w:b/>
          <w:bCs/>
          <w:iCs/>
          <w:color w:val="333333"/>
          <w:sz w:val="22"/>
          <w:szCs w:val="22"/>
          <w:lang w:eastAsia="en-US"/>
        </w:rPr>
      </w:pPr>
      <w:r w:rsidRPr="00F46291">
        <w:rPr>
          <w:rFonts w:ascii="Calibri" w:eastAsia="Times New Roman" w:hAnsi="Calibri" w:cs="Helvetica"/>
          <w:b/>
          <w:bCs/>
          <w:iCs/>
          <w:color w:val="333333"/>
          <w:sz w:val="22"/>
          <w:szCs w:val="22"/>
          <w:lang w:eastAsia="en-US"/>
        </w:rPr>
        <w:t>Administrative Issues</w:t>
      </w:r>
    </w:p>
    <w:p w14:paraId="2F622897" w14:textId="77777777" w:rsidR="00C70A8F" w:rsidRPr="00F46291" w:rsidRDefault="00C70A8F" w:rsidP="00EC0271">
      <w:pPr>
        <w:jc w:val="both"/>
        <w:rPr>
          <w:rFonts w:ascii="Calibri" w:eastAsia="Times New Roman" w:hAnsi="Calibri" w:cs="Helvetica"/>
          <w:color w:val="333333"/>
          <w:sz w:val="22"/>
          <w:szCs w:val="22"/>
          <w:lang w:eastAsia="en-US"/>
        </w:rPr>
      </w:pPr>
    </w:p>
    <w:p w14:paraId="7BE81B89" w14:textId="5454AF54" w:rsidR="00C70A8F" w:rsidRPr="00F46291" w:rsidRDefault="00C70A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The accounting and operating of a fund on a business basis can lead to conflict between managers, who want the freedom to operate the fund like a business, and legislators, who wish to exercise considerable control over funds.</w:t>
      </w:r>
    </w:p>
    <w:p w14:paraId="4FD70035" w14:textId="77777777" w:rsidR="00C70A8F" w:rsidRPr="00F46291" w:rsidRDefault="00C70A8F" w:rsidP="00EC0271">
      <w:pPr>
        <w:spacing w:line="255" w:lineRule="atLeast"/>
        <w:jc w:val="both"/>
        <w:rPr>
          <w:rFonts w:ascii="Calibri" w:eastAsia="Times New Roman" w:hAnsi="Calibri" w:cs="Helvetica"/>
          <w:color w:val="333333"/>
          <w:sz w:val="22"/>
          <w:szCs w:val="22"/>
          <w:lang w:eastAsia="en-US"/>
        </w:rPr>
      </w:pPr>
    </w:p>
    <w:p w14:paraId="111000A0" w14:textId="0E6BFD3F" w:rsidR="00C70A8F" w:rsidRPr="00F46291" w:rsidRDefault="00C70A8F" w:rsidP="00EC0271">
      <w:pPr>
        <w:tabs>
          <w:tab w:val="left" w:pos="0"/>
        </w:tabs>
        <w:jc w:val="both"/>
        <w:rPr>
          <w:rFonts w:ascii="Calibri" w:hAnsi="Calibri" w:cs="Helvetica"/>
          <w:color w:val="333333"/>
          <w:sz w:val="22"/>
          <w:szCs w:val="22"/>
        </w:rPr>
      </w:pPr>
      <w:r w:rsidRPr="00F46291">
        <w:rPr>
          <w:rStyle w:val="apple-converted-space"/>
          <w:rFonts w:ascii="Calibri" w:hAnsi="Calibri" w:cs="Helvetica"/>
          <w:color w:val="333333"/>
          <w:sz w:val="22"/>
          <w:szCs w:val="22"/>
        </w:rPr>
        <w:t>T</w:t>
      </w:r>
      <w:r w:rsidRPr="00F46291">
        <w:rPr>
          <w:rFonts w:ascii="Calibri" w:hAnsi="Calibri" w:cs="Helvetica"/>
          <w:color w:val="333333"/>
          <w:sz w:val="22"/>
          <w:szCs w:val="22"/>
        </w:rPr>
        <w:t>he customers of an internal service fund are, by definition, other funds and departments of the government or of other governments. Therefore, each using fund and department must include in its appropriations budget request the justification for the amount to be spent (i.e., paid to the internal service fund) for supplies, so the legislative branch continues to exercise budgetary review over the amount each fund and department budgets for supplies. Departments and programs that require legislative appropriations to expend resources for goods and services should account for purchases of goods or services from internal suppliers (i.e., internal service funds or enterprise funds) in essentially the same manner as goods and services purchased from external suppliers. By setting pricing policies for the internal service fund and policies governing the use and retention of current earnings, the legislature can maintain considerable control over the function performed by the internal service fund but leave the fund managers freedom to operate at their discretion within the policies set by the legislative branch.</w:t>
      </w:r>
    </w:p>
    <w:p w14:paraId="2508CDDF" w14:textId="71AA0205" w:rsidR="00C70A8F" w:rsidRPr="00F46291" w:rsidRDefault="00C70A8F" w:rsidP="00EC0271">
      <w:pPr>
        <w:tabs>
          <w:tab w:val="left" w:pos="0"/>
        </w:tabs>
        <w:jc w:val="both"/>
        <w:rPr>
          <w:rFonts w:ascii="Calibri" w:hAnsi="Calibri" w:cs="Helvetica"/>
          <w:color w:val="333333"/>
          <w:sz w:val="22"/>
          <w:szCs w:val="22"/>
        </w:rPr>
      </w:pPr>
    </w:p>
    <w:p w14:paraId="3D9A02AD" w14:textId="3B6D12F5" w:rsidR="00626B60" w:rsidRPr="00F46291" w:rsidRDefault="00C70A8F" w:rsidP="00EC0271">
      <w:pPr>
        <w:tabs>
          <w:tab w:val="left" w:pos="0"/>
        </w:tabs>
        <w:jc w:val="both"/>
        <w:rPr>
          <w:rFonts w:ascii="Calibri" w:hAnsi="Calibri" w:cs="Helvetica"/>
          <w:color w:val="333333"/>
          <w:sz w:val="22"/>
          <w:szCs w:val="22"/>
        </w:rPr>
      </w:pPr>
      <w:r w:rsidRPr="00F46291">
        <w:rPr>
          <w:rFonts w:ascii="Calibri" w:hAnsi="Calibri" w:cs="Helvetica"/>
          <w:color w:val="333333"/>
          <w:sz w:val="22"/>
          <w:szCs w:val="22"/>
        </w:rPr>
        <w:t xml:space="preserve">One of the more difficult problems to resolve to the satisfaction of persons with opposing views is the establishment of a pricing policy. “Cost” is obviously an incomplete answer: Historical cost of the supplies, whether defined as first-in, first-out; last-in, first-out; average; or specific identification, will not provide sufficient revenue to replace supplies issued if replacement prices have risen since the last purchase. Nor will it allow for an increase in the inventory quantities if the scale of governmental operations is growing. </w:t>
      </w:r>
      <w:r w:rsidR="00E449E5">
        <w:rPr>
          <w:rFonts w:ascii="Calibri" w:hAnsi="Calibri" w:cs="Helvetica"/>
          <w:color w:val="333333"/>
          <w:sz w:val="22"/>
          <w:szCs w:val="22"/>
        </w:rPr>
        <w:t xml:space="preserve"> Pricing should cover full costs, plus an additional charge for capital maintenance and anticipated expansion needs. </w:t>
      </w:r>
    </w:p>
    <w:p w14:paraId="2D5E3B3B" w14:textId="77777777" w:rsidR="00626B60" w:rsidRPr="00F46291" w:rsidRDefault="00626B60" w:rsidP="00EC0271">
      <w:pPr>
        <w:tabs>
          <w:tab w:val="left" w:pos="0"/>
        </w:tabs>
        <w:jc w:val="both"/>
        <w:rPr>
          <w:rFonts w:ascii="Calibri" w:hAnsi="Calibri" w:cs="Helvetica"/>
          <w:color w:val="333333"/>
          <w:sz w:val="22"/>
          <w:szCs w:val="22"/>
        </w:rPr>
      </w:pPr>
    </w:p>
    <w:p w14:paraId="6A20A207" w14:textId="77777777" w:rsidR="00626B60" w:rsidRPr="00F46291" w:rsidRDefault="00C70A8F" w:rsidP="00EC0271">
      <w:pPr>
        <w:tabs>
          <w:tab w:val="left" w:pos="0"/>
        </w:tabs>
        <w:jc w:val="both"/>
        <w:rPr>
          <w:rFonts w:ascii="Calibri" w:hAnsi="Calibri" w:cs="Helvetica"/>
          <w:color w:val="333333"/>
          <w:sz w:val="22"/>
          <w:szCs w:val="22"/>
        </w:rPr>
      </w:pPr>
      <w:r w:rsidRPr="00F46291">
        <w:rPr>
          <w:rFonts w:ascii="Calibri" w:hAnsi="Calibri" w:cs="Helvetica"/>
          <w:color w:val="333333"/>
          <w:sz w:val="22"/>
          <w:szCs w:val="22"/>
        </w:rPr>
        <w:t xml:space="preserve">Payroll and other cash operating expenses of the internal service fund must be met; if the internal service fund has received a loan from another fund or another government, prices must be set at a level that will generate cash needed for debt retirement. If the internal service fund is to be operated on a true business basis, it must also be able to finance from its operations the replacement, modernization, and expansion of plant and equipment used in fund operations. </w:t>
      </w:r>
    </w:p>
    <w:p w14:paraId="0C66FBE6" w14:textId="77777777" w:rsidR="00626B60" w:rsidRPr="00F46291" w:rsidRDefault="00626B60" w:rsidP="00EC0271">
      <w:pPr>
        <w:tabs>
          <w:tab w:val="left" w:pos="0"/>
        </w:tabs>
        <w:jc w:val="both"/>
        <w:rPr>
          <w:rFonts w:ascii="Calibri" w:hAnsi="Calibri" w:cs="Helvetica"/>
          <w:color w:val="333333"/>
          <w:sz w:val="22"/>
          <w:szCs w:val="22"/>
        </w:rPr>
      </w:pPr>
    </w:p>
    <w:p w14:paraId="40296BBF" w14:textId="5AEB3542" w:rsidR="00C70A8F" w:rsidRPr="00F46291" w:rsidRDefault="00C70A8F" w:rsidP="00EC0271">
      <w:pPr>
        <w:tabs>
          <w:tab w:val="left" w:pos="0"/>
        </w:tabs>
        <w:jc w:val="both"/>
        <w:rPr>
          <w:rFonts w:ascii="Calibri" w:hAnsi="Calibri" w:cs="Helvetica"/>
          <w:color w:val="333333"/>
          <w:sz w:val="22"/>
          <w:szCs w:val="22"/>
        </w:rPr>
      </w:pPr>
      <w:r w:rsidRPr="00F46291">
        <w:rPr>
          <w:rFonts w:ascii="Calibri" w:hAnsi="Calibri" w:cs="Helvetica"/>
          <w:color w:val="333333"/>
          <w:sz w:val="22"/>
          <w:szCs w:val="22"/>
        </w:rPr>
        <w:t>Prices charged by the internal service fund, however, should be less than the using funds and departments would have to pay outside vendors for equivalent products and services if the existence and continued operation of the internal service fund is to be justified. Because of the considerations mentioned in this section, many different approaches to internal service fund operations are found in practice.</w:t>
      </w:r>
    </w:p>
    <w:p w14:paraId="0793AFD7" w14:textId="77777777" w:rsidR="00C70A8F" w:rsidRPr="00F46291" w:rsidRDefault="00C70A8F" w:rsidP="00EC0271">
      <w:pPr>
        <w:tabs>
          <w:tab w:val="left" w:pos="0"/>
        </w:tabs>
        <w:jc w:val="both"/>
        <w:rPr>
          <w:rFonts w:ascii="Calibri" w:hAnsi="Calibri" w:cs="Helvetica"/>
          <w:color w:val="333333"/>
          <w:sz w:val="22"/>
          <w:szCs w:val="22"/>
        </w:rPr>
      </w:pPr>
    </w:p>
    <w:p w14:paraId="3A778987" w14:textId="074BFDC0" w:rsidR="00C70A8F" w:rsidRPr="00F46291" w:rsidRDefault="00E449E5" w:rsidP="00EC0271">
      <w:pPr>
        <w:jc w:val="both"/>
        <w:rPr>
          <w:rFonts w:ascii="Calibri" w:eastAsia="Times New Roman" w:hAnsi="Calibri" w:cs="Helvetica"/>
          <w:b/>
          <w:bCs/>
          <w:iCs/>
          <w:color w:val="333333"/>
          <w:sz w:val="22"/>
          <w:szCs w:val="22"/>
          <w:lang w:eastAsia="en-US"/>
        </w:rPr>
      </w:pPr>
      <w:r>
        <w:rPr>
          <w:rFonts w:ascii="Calibri" w:eastAsia="Times New Roman" w:hAnsi="Calibri" w:cs="Helvetica"/>
          <w:b/>
          <w:bCs/>
          <w:iCs/>
          <w:color w:val="333333"/>
          <w:sz w:val="22"/>
          <w:szCs w:val="22"/>
          <w:lang w:eastAsia="en-US"/>
        </w:rPr>
        <w:br w:type="page"/>
      </w:r>
      <w:r w:rsidR="00C70A8F" w:rsidRPr="00F46291">
        <w:rPr>
          <w:rFonts w:ascii="Calibri" w:eastAsia="Times New Roman" w:hAnsi="Calibri" w:cs="Helvetica"/>
          <w:b/>
          <w:bCs/>
          <w:iCs/>
          <w:color w:val="333333"/>
          <w:sz w:val="22"/>
          <w:szCs w:val="22"/>
          <w:lang w:eastAsia="en-US"/>
        </w:rPr>
        <w:lastRenderedPageBreak/>
        <w:t>Internal Service Funds with Manufacturing Activities</w:t>
      </w:r>
    </w:p>
    <w:p w14:paraId="41CB3A83" w14:textId="77777777" w:rsidR="00C70A8F" w:rsidRPr="00F46291" w:rsidRDefault="00C70A8F" w:rsidP="00EC0271">
      <w:pPr>
        <w:jc w:val="both"/>
        <w:rPr>
          <w:rFonts w:ascii="Calibri" w:eastAsia="Times New Roman" w:hAnsi="Calibri"/>
          <w:sz w:val="22"/>
          <w:szCs w:val="22"/>
          <w:lang w:eastAsia="en-US"/>
        </w:rPr>
      </w:pPr>
    </w:p>
    <w:p w14:paraId="16E3C9D0" w14:textId="5FDEFD5F" w:rsidR="00C70A8F" w:rsidRPr="00F46291" w:rsidRDefault="00C70A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Many states and local governments funds and departments have printing shops, asphalt plants, and other service units that produce a physical product or that facilitate the operations of the other funds and departments by performing maintenance or repair jobs or even performing a temporary financing function.</w:t>
      </w:r>
    </w:p>
    <w:p w14:paraId="76339B05" w14:textId="77777777" w:rsidR="00C70A8F" w:rsidRPr="00F46291" w:rsidRDefault="00C70A8F" w:rsidP="00EC0271">
      <w:pPr>
        <w:spacing w:line="255" w:lineRule="atLeast"/>
        <w:jc w:val="both"/>
        <w:rPr>
          <w:rFonts w:ascii="Calibri" w:eastAsia="Times New Roman" w:hAnsi="Calibri" w:cs="Helvetica"/>
          <w:color w:val="333333"/>
          <w:sz w:val="22"/>
          <w:szCs w:val="22"/>
          <w:lang w:eastAsia="en-US"/>
        </w:rPr>
      </w:pPr>
    </w:p>
    <w:p w14:paraId="3BC1F08D" w14:textId="31A0CC79" w:rsidR="00C70A8F" w:rsidRPr="00F46291" w:rsidRDefault="00C70A8F"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If an internal service fund performs a continuous process manufacturing operation, its accounting system should provide process cost accounts. If a service fund performs a manufacturing, maintenance, or repair operation on a job-order basis, the fund's accounting system should provide appropriate job-order cost accounts. To the extent that operations, processes, or activities are capable of being standardized, cost standards for materials, direct labor, and overhead should be established; in such cases, the accounting system should provide for the routine measurement and reporting of significant variances from the standards</w:t>
      </w:r>
      <w:r w:rsidR="0010186C" w:rsidRPr="00F46291">
        <w:rPr>
          <w:rFonts w:ascii="Calibri" w:eastAsia="Times New Roman" w:hAnsi="Calibri" w:cs="Helvetica"/>
          <w:color w:val="333333"/>
          <w:sz w:val="22"/>
          <w:szCs w:val="22"/>
          <w:lang w:eastAsia="en-US"/>
        </w:rPr>
        <w:t>.</w:t>
      </w:r>
    </w:p>
    <w:p w14:paraId="00D101C5" w14:textId="2E1DA6A9" w:rsidR="0010186C" w:rsidRPr="00F46291" w:rsidRDefault="0010186C" w:rsidP="00EC0271">
      <w:pPr>
        <w:spacing w:line="255" w:lineRule="atLeast"/>
        <w:jc w:val="both"/>
        <w:rPr>
          <w:rFonts w:ascii="Calibri" w:eastAsia="Times New Roman" w:hAnsi="Calibri" w:cs="Helvetica"/>
          <w:color w:val="333333"/>
          <w:sz w:val="22"/>
          <w:szCs w:val="22"/>
          <w:lang w:eastAsia="en-US"/>
        </w:rPr>
      </w:pPr>
    </w:p>
    <w:p w14:paraId="428F7A69" w14:textId="77777777" w:rsidR="0010186C" w:rsidRPr="00F46291" w:rsidRDefault="0010186C" w:rsidP="00EC0271">
      <w:pPr>
        <w:spacing w:line="255" w:lineRule="atLeast"/>
        <w:jc w:val="both"/>
        <w:rPr>
          <w:rFonts w:ascii="Calibri" w:eastAsia="Times New Roman" w:hAnsi="Calibri" w:cs="Helvetica"/>
          <w:color w:val="333333"/>
          <w:sz w:val="22"/>
          <w:szCs w:val="22"/>
          <w:lang w:eastAsia="en-US"/>
        </w:rPr>
      </w:pPr>
    </w:p>
    <w:p w14:paraId="2A86D119" w14:textId="2A9F113C" w:rsidR="00FD0D95" w:rsidRPr="00F46291" w:rsidRDefault="00626B60" w:rsidP="00EC0271">
      <w:pPr>
        <w:jc w:val="both"/>
        <w:rPr>
          <w:rFonts w:ascii="Calibri" w:eastAsia="Times New Roman" w:hAnsi="Calibri" w:cs="Helvetica"/>
          <w:b/>
          <w:bCs/>
          <w:sz w:val="22"/>
          <w:szCs w:val="22"/>
          <w:lang w:eastAsia="en-US"/>
        </w:rPr>
      </w:pPr>
      <w:r w:rsidRPr="00F46291">
        <w:rPr>
          <w:rFonts w:ascii="Calibri" w:eastAsia="Times New Roman" w:hAnsi="Calibri" w:cs="Helvetica"/>
          <w:b/>
          <w:bCs/>
          <w:sz w:val="22"/>
          <w:szCs w:val="22"/>
          <w:lang w:eastAsia="en-US"/>
        </w:rPr>
        <w:br w:type="page"/>
      </w:r>
      <w:r w:rsidR="00FD0D95" w:rsidRPr="00F46291">
        <w:rPr>
          <w:rFonts w:ascii="Calibri" w:eastAsia="Times New Roman" w:hAnsi="Calibri" w:cs="Helvetica"/>
          <w:b/>
          <w:bCs/>
          <w:sz w:val="22"/>
          <w:szCs w:val="22"/>
          <w:lang w:eastAsia="en-US"/>
        </w:rPr>
        <w:lastRenderedPageBreak/>
        <w:t>ENTERPRISE FUNDS</w:t>
      </w:r>
    </w:p>
    <w:p w14:paraId="23D8CC6F" w14:textId="77777777" w:rsidR="00FD0D95" w:rsidRPr="00F46291" w:rsidRDefault="00FD0D95" w:rsidP="00EC0271">
      <w:pPr>
        <w:jc w:val="both"/>
        <w:rPr>
          <w:rFonts w:ascii="Calibri" w:eastAsia="Times New Roman" w:hAnsi="Calibri" w:cs="Helvetica"/>
          <w:sz w:val="22"/>
          <w:szCs w:val="22"/>
          <w:lang w:eastAsia="en-US"/>
        </w:rPr>
      </w:pPr>
    </w:p>
    <w:p w14:paraId="11106A6D" w14:textId="2DC33EEA"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Enterprise funds and internal service funds are both classified by the GASB as proprietary funds, although </w:t>
      </w:r>
      <w:r w:rsidRPr="00381A1A">
        <w:rPr>
          <w:rFonts w:ascii="Calibri" w:eastAsia="Times New Roman" w:hAnsi="Calibri" w:cs="Helvetica"/>
          <w:b/>
          <w:color w:val="333333"/>
          <w:sz w:val="22"/>
          <w:szCs w:val="22"/>
          <w:lang w:eastAsia="en-US"/>
        </w:rPr>
        <w:t>enterprise funds are used by governments to account for services provided to the general public on a user charge basis</w:t>
      </w:r>
      <w:r w:rsidRPr="00F46291">
        <w:rPr>
          <w:rFonts w:ascii="Calibri" w:eastAsia="Times New Roman" w:hAnsi="Calibri" w:cs="Helvetica"/>
          <w:color w:val="333333"/>
          <w:sz w:val="22"/>
          <w:szCs w:val="22"/>
          <w:lang w:eastAsia="en-US"/>
        </w:rPr>
        <w:t>. Under GASB standards, a government must report certain activities in an enterprise fund if any of the following criteria are met.</w:t>
      </w:r>
    </w:p>
    <w:p w14:paraId="3DCF8FDF" w14:textId="03859AA2" w:rsidR="00FD0D95" w:rsidRPr="00F46291" w:rsidRDefault="00FD0D95" w:rsidP="00EC0271">
      <w:pPr>
        <w:numPr>
          <w:ilvl w:val="0"/>
          <w:numId w:val="24"/>
        </w:numPr>
        <w:tabs>
          <w:tab w:val="clear" w:pos="1080"/>
          <w:tab w:val="num" w:pos="450"/>
        </w:tabs>
        <w:spacing w:line="255" w:lineRule="atLeast"/>
        <w:ind w:left="450"/>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The activity is financed with debt that is secured </w:t>
      </w:r>
      <w:r w:rsidRPr="00F46291">
        <w:rPr>
          <w:rFonts w:ascii="Calibri" w:eastAsia="Times New Roman" w:hAnsi="Calibri" w:cs="Helvetica"/>
          <w:iCs/>
          <w:color w:val="333333"/>
          <w:sz w:val="22"/>
          <w:szCs w:val="22"/>
          <w:lang w:eastAsia="en-US"/>
        </w:rPr>
        <w:t>solely</w:t>
      </w:r>
      <w:r w:rsidRPr="00F46291">
        <w:rPr>
          <w:rFonts w:ascii="Calibri" w:eastAsia="Times New Roman" w:hAnsi="Calibri" w:cs="Helvetica"/>
          <w:color w:val="333333"/>
          <w:sz w:val="22"/>
          <w:szCs w:val="22"/>
          <w:lang w:eastAsia="en-US"/>
        </w:rPr>
        <w:t xml:space="preserve"> by a pledge of the revenues from fees and charges of an activity. </w:t>
      </w:r>
    </w:p>
    <w:p w14:paraId="5ECF214C" w14:textId="77777777" w:rsidR="00FD0D95" w:rsidRPr="00F46291" w:rsidRDefault="00FD0D95" w:rsidP="00EC0271">
      <w:pPr>
        <w:numPr>
          <w:ilvl w:val="0"/>
          <w:numId w:val="25"/>
        </w:numPr>
        <w:tabs>
          <w:tab w:val="clear" w:pos="1080"/>
        </w:tabs>
        <w:spacing w:line="255" w:lineRule="atLeast"/>
        <w:ind w:left="450"/>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Laws or regulations require that the activity's costs of providing services, including capital costs (such as depreciation or debt service), be recovered with fees and charges, rather than with taxes or similar revenues.</w:t>
      </w:r>
    </w:p>
    <w:p w14:paraId="4B3D3ECB" w14:textId="33A8030B" w:rsidR="00FD0D95" w:rsidRPr="00F46291" w:rsidRDefault="00FD0D95" w:rsidP="00EC0271">
      <w:pPr>
        <w:numPr>
          <w:ilvl w:val="0"/>
          <w:numId w:val="26"/>
        </w:numPr>
        <w:tabs>
          <w:tab w:val="left" w:pos="450"/>
        </w:tabs>
        <w:spacing w:line="255" w:lineRule="atLeast"/>
        <w:ind w:left="450"/>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Pricing policies are designed to recover the costs of the activity, including capital costs.</w:t>
      </w:r>
    </w:p>
    <w:p w14:paraId="4F899A35"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079ED7F4" w14:textId="1137438C"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These criteria are quite specific regarding when an enterprise fund </w:t>
      </w:r>
      <w:r w:rsidRPr="00F46291">
        <w:rPr>
          <w:rFonts w:ascii="Calibri" w:eastAsia="Times New Roman" w:hAnsi="Calibri" w:cs="Helvetica"/>
          <w:iCs/>
          <w:color w:val="333333"/>
          <w:sz w:val="22"/>
          <w:szCs w:val="22"/>
          <w:lang w:eastAsia="en-US"/>
        </w:rPr>
        <w:t>must</w:t>
      </w:r>
      <w:r w:rsidRPr="00F46291">
        <w:rPr>
          <w:rFonts w:ascii="Calibri" w:eastAsia="Times New Roman" w:hAnsi="Calibri" w:cs="Helvetica"/>
          <w:color w:val="333333"/>
          <w:sz w:val="22"/>
          <w:szCs w:val="22"/>
          <w:lang w:eastAsia="en-US"/>
        </w:rPr>
        <w:t> be used. If governments support the activities </w:t>
      </w:r>
      <w:r w:rsidRPr="00F46291">
        <w:rPr>
          <w:rFonts w:ascii="Calibri" w:eastAsia="Times New Roman" w:hAnsi="Calibri" w:cs="Helvetica"/>
          <w:iCs/>
          <w:color w:val="333333"/>
          <w:sz w:val="22"/>
          <w:szCs w:val="22"/>
          <w:lang w:eastAsia="en-US"/>
        </w:rPr>
        <w:t>primarily</w:t>
      </w:r>
      <w:r w:rsidRPr="00F46291">
        <w:rPr>
          <w:rFonts w:ascii="Calibri" w:eastAsia="Times New Roman" w:hAnsi="Calibri" w:cs="Helvetica"/>
          <w:color w:val="333333"/>
          <w:sz w:val="22"/>
          <w:szCs w:val="22"/>
          <w:lang w:eastAsia="en-US"/>
        </w:rPr>
        <w:t> with general or special revenue sources rather than user charges, accounting for the activities is more appropriate in the General Fund or a special revenue fund.</w:t>
      </w:r>
      <w:r w:rsidR="00D056B1" w:rsidRPr="00F46291">
        <w:rPr>
          <w:rFonts w:ascii="Calibri" w:eastAsia="Times New Roman" w:hAnsi="Calibri" w:cs="Helvetica"/>
          <w:color w:val="333333"/>
          <w:sz w:val="22"/>
          <w:szCs w:val="22"/>
          <w:lang w:eastAsia="en-US"/>
        </w:rPr>
        <w:t xml:space="preserve"> Consequently, it need not be reported as an enterprise fund.  </w:t>
      </w:r>
    </w:p>
    <w:p w14:paraId="29AB21ED"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0DE59188" w14:textId="27BDF2B5"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Because the word </w:t>
      </w:r>
      <w:r w:rsidRPr="00F46291">
        <w:rPr>
          <w:rFonts w:ascii="Calibri" w:eastAsia="Times New Roman" w:hAnsi="Calibri" w:cs="Helvetica"/>
          <w:iCs/>
          <w:color w:val="333333"/>
          <w:sz w:val="22"/>
          <w:szCs w:val="22"/>
          <w:lang w:eastAsia="en-US"/>
        </w:rPr>
        <w:t>enterprise</w:t>
      </w:r>
      <w:r w:rsidRPr="00F46291">
        <w:rPr>
          <w:rFonts w:ascii="Calibri" w:eastAsia="Times New Roman" w:hAnsi="Calibri" w:cs="Helvetica"/>
          <w:color w:val="333333"/>
          <w:sz w:val="22"/>
          <w:szCs w:val="22"/>
          <w:lang w:eastAsia="en-US"/>
        </w:rPr>
        <w:t xml:space="preserve"> is often used as a synonym for “business-type activity,” it is logical that enterprise funds should use accrual accounting and account for all assets used in the production of goods or services offered by the fund. Similarly, if long-term debt is to be serviced by the fund, the fund does the accounting for the debt. </w:t>
      </w:r>
      <w:r w:rsidR="0031206D" w:rsidRPr="00F46291">
        <w:rPr>
          <w:rFonts w:ascii="Calibri" w:eastAsia="Times New Roman" w:hAnsi="Calibri" w:cs="Helvetica"/>
          <w:color w:val="333333"/>
          <w:sz w:val="22"/>
          <w:szCs w:val="22"/>
          <w:lang w:eastAsia="en-US"/>
        </w:rPr>
        <w:t>So, any interest and principal on a</w:t>
      </w:r>
      <w:r w:rsidR="000A144B" w:rsidRPr="00F46291">
        <w:rPr>
          <w:rFonts w:ascii="Calibri" w:eastAsia="Times New Roman" w:hAnsi="Calibri" w:cs="Helvetica"/>
          <w:color w:val="333333"/>
          <w:sz w:val="22"/>
          <w:szCs w:val="22"/>
          <w:lang w:eastAsia="en-US"/>
        </w:rPr>
        <w:t>n</w:t>
      </w:r>
      <w:r w:rsidR="0031206D" w:rsidRPr="00F46291">
        <w:rPr>
          <w:rFonts w:ascii="Calibri" w:eastAsia="Times New Roman" w:hAnsi="Calibri" w:cs="Helvetica"/>
          <w:color w:val="333333"/>
          <w:sz w:val="22"/>
          <w:szCs w:val="22"/>
          <w:lang w:eastAsia="en-US"/>
        </w:rPr>
        <w:t xml:space="preserve"> enterprise fund revenue bond would be recorded</w:t>
      </w:r>
      <w:r w:rsidR="009C1013" w:rsidRPr="00F46291">
        <w:rPr>
          <w:rFonts w:ascii="Calibri" w:eastAsia="Times New Roman" w:hAnsi="Calibri" w:cs="Helvetica"/>
          <w:color w:val="333333"/>
          <w:sz w:val="22"/>
          <w:szCs w:val="22"/>
          <w:lang w:eastAsia="en-US"/>
        </w:rPr>
        <w:t xml:space="preserve"> within the records of the fund, and any premiums or discounts on bonds payable would be accounted for in the same manner as a comparable business entity. </w:t>
      </w:r>
    </w:p>
    <w:p w14:paraId="55C4856A"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73CF55D3" w14:textId="292C4D1F"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 xml:space="preserve">It follows that enterprise funds are generally reported as part of the Business-type Activities column of the government-wide financial statements. </w:t>
      </w:r>
    </w:p>
    <w:p w14:paraId="239767EB"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00261724" w14:textId="5ACD41F2"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The most common examples of governmental enterprises are public utilities, notably water and sewer utilities. Electric and gas utilities, transportation systems, airports, ports, hospitals, toll bridges, produce markets, parking lots, parking garages, and public housing projects are other examples frequently found. Because services of the types mentioned are intended to be largely self-supporting, they are generally accounted for by enterprise funds.</w:t>
      </w:r>
    </w:p>
    <w:p w14:paraId="0F67B7E9"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2B513533" w14:textId="77777777" w:rsidR="00FD0D95" w:rsidRPr="00F46291" w:rsidRDefault="00FD0D95" w:rsidP="00EC0271">
      <w:pPr>
        <w:spacing w:line="255" w:lineRule="atLeast"/>
        <w:jc w:val="both"/>
        <w:rPr>
          <w:rFonts w:ascii="Calibri" w:eastAsia="Times New Roman" w:hAnsi="Calibri" w:cs="Helvetica"/>
          <w:color w:val="333333"/>
          <w:sz w:val="22"/>
          <w:szCs w:val="22"/>
          <w:vertAlign w:val="superscript"/>
          <w:lang w:eastAsia="en-US"/>
        </w:rPr>
      </w:pPr>
      <w:r w:rsidRPr="00F46291">
        <w:rPr>
          <w:rFonts w:ascii="Calibri" w:eastAsia="Times New Roman" w:hAnsi="Calibri" w:cs="Helvetica"/>
          <w:color w:val="333333"/>
          <w:sz w:val="22"/>
          <w:szCs w:val="22"/>
          <w:lang w:eastAsia="en-US"/>
        </w:rPr>
        <w:t>Almost every type of enterprise operated by a government has its counterpart in the private sector. In order to take advantage of the work done by regulatory agencies and trade associations to develop useful accounting information systems for the investor-owned enterprises, it is recommended that governmentally owned enterprises use the accounting structures developed for investor-owned enterprises of the same nature.</w:t>
      </w:r>
    </w:p>
    <w:p w14:paraId="3C49E652" w14:textId="77777777" w:rsidR="00FD0D95" w:rsidRPr="00F46291" w:rsidRDefault="00FD0D95" w:rsidP="00EC0271">
      <w:pPr>
        <w:spacing w:line="255" w:lineRule="atLeast"/>
        <w:jc w:val="both"/>
        <w:rPr>
          <w:rFonts w:ascii="Calibri" w:eastAsia="Times New Roman" w:hAnsi="Calibri" w:cs="Helvetica"/>
          <w:color w:val="333333"/>
          <w:sz w:val="22"/>
          <w:szCs w:val="22"/>
          <w:vertAlign w:val="superscript"/>
          <w:lang w:eastAsia="en-US"/>
        </w:rPr>
      </w:pPr>
    </w:p>
    <w:p w14:paraId="50526DDC" w14:textId="22F7E1F5"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Budgetary accounts should be used only if required by law. The accounting for debt service and construction activities of a governmental enterprise occurs within the enterprise fund rather than by separate debt service and capital projects funds. Thus, the financial statements of enterprise funds are self-contained, and creditors, legislators, or the general public can evaluate the performance of a governmental enterprise on the same bases as they can the performance of investor-owned enterprises in the same industry.</w:t>
      </w:r>
    </w:p>
    <w:p w14:paraId="1AA43D96" w14:textId="77777777" w:rsidR="00FD0D95" w:rsidRPr="00F46291" w:rsidRDefault="00FD0D95" w:rsidP="00EC0271">
      <w:pPr>
        <w:spacing w:line="255" w:lineRule="atLeast"/>
        <w:jc w:val="both"/>
        <w:rPr>
          <w:rFonts w:ascii="Calibri" w:eastAsia="Times New Roman" w:hAnsi="Calibri" w:cs="Helvetica"/>
          <w:color w:val="333333"/>
          <w:sz w:val="22"/>
          <w:szCs w:val="22"/>
          <w:lang w:eastAsia="en-US"/>
        </w:rPr>
      </w:pPr>
    </w:p>
    <w:p w14:paraId="054D6A18" w14:textId="5C14E68C" w:rsidR="00FD0D95" w:rsidRPr="00F46291" w:rsidRDefault="00FD0D95" w:rsidP="00EC0271">
      <w:pPr>
        <w:spacing w:line="255" w:lineRule="atLeast"/>
        <w:jc w:val="both"/>
        <w:rPr>
          <w:rFonts w:ascii="Calibri" w:eastAsia="Times New Roman" w:hAnsi="Calibri" w:cs="Helvetica"/>
          <w:color w:val="333333"/>
          <w:sz w:val="22"/>
          <w:szCs w:val="22"/>
          <w:lang w:eastAsia="en-US"/>
        </w:rPr>
      </w:pPr>
      <w:r w:rsidRPr="00F46291">
        <w:rPr>
          <w:rFonts w:ascii="Calibri" w:eastAsia="Times New Roman" w:hAnsi="Calibri" w:cs="Helvetica"/>
          <w:color w:val="333333"/>
          <w:sz w:val="22"/>
          <w:szCs w:val="22"/>
          <w:lang w:eastAsia="en-US"/>
        </w:rPr>
        <w:t>By far the most numerous and important enterprise services rendered by local governments are public utilities.</w:t>
      </w:r>
    </w:p>
    <w:p w14:paraId="28BB2D8C" w14:textId="150D3A55" w:rsidR="007B3D13" w:rsidRPr="00455225" w:rsidRDefault="006470E4" w:rsidP="00455225">
      <w:pPr>
        <w:tabs>
          <w:tab w:val="left" w:pos="0"/>
        </w:tabs>
        <w:jc w:val="both"/>
        <w:rPr>
          <w:rFonts w:ascii="Calibri" w:hAnsi="Calibri" w:cs="Helvetica"/>
          <w:color w:val="333333"/>
          <w:sz w:val="22"/>
          <w:szCs w:val="22"/>
        </w:rPr>
      </w:pPr>
      <w:r w:rsidRPr="00F46291">
        <w:rPr>
          <w:rFonts w:ascii="Calibri" w:hAnsi="Calibri" w:cs="Helvetica"/>
          <w:color w:val="333333"/>
          <w:sz w:val="22"/>
          <w:szCs w:val="22"/>
        </w:rPr>
        <w:br w:type="page"/>
      </w:r>
      <w:r w:rsidR="007B3D13" w:rsidRPr="00F46291">
        <w:rPr>
          <w:rFonts w:ascii="Calibri" w:hAnsi="Calibri"/>
          <w:sz w:val="22"/>
          <w:szCs w:val="22"/>
        </w:rPr>
        <w:lastRenderedPageBreak/>
        <w:t>The city water utility is owned and operated by the City of Bingham.  The water utility was originally constructed and operated by a private corporation, but it was sold to the city 30 years before the year for which transactions are given. The post-closing trial balance of the Water Utili</w:t>
      </w:r>
      <w:r w:rsidR="00D9276B" w:rsidRPr="00F46291">
        <w:rPr>
          <w:rFonts w:ascii="Calibri" w:hAnsi="Calibri"/>
          <w:sz w:val="22"/>
          <w:szCs w:val="22"/>
        </w:rPr>
        <w:t>ty Fund, as of December 31, 2016</w:t>
      </w:r>
      <w:r w:rsidR="007B3D13" w:rsidRPr="00F46291">
        <w:rPr>
          <w:rFonts w:ascii="Calibri" w:hAnsi="Calibri"/>
          <w:sz w:val="22"/>
          <w:szCs w:val="22"/>
        </w:rPr>
        <w:t>, follows:</w:t>
      </w:r>
    </w:p>
    <w:p w14:paraId="2FCF23E2" w14:textId="77777777" w:rsidR="007B3D13" w:rsidRPr="00F46291" w:rsidRDefault="007B3D13" w:rsidP="00EC0271">
      <w:pPr>
        <w:widowControl w:val="0"/>
        <w:autoSpaceDE w:val="0"/>
        <w:autoSpaceDN w:val="0"/>
        <w:adjustRightInd w:val="0"/>
        <w:ind w:left="360"/>
        <w:jc w:val="both"/>
        <w:rPr>
          <w:rFonts w:ascii="Calibri" w:hAnsi="Calibri"/>
          <w:sz w:val="22"/>
          <w:szCs w:val="22"/>
        </w:rPr>
      </w:pPr>
    </w:p>
    <w:p w14:paraId="38A06EA4" w14:textId="77777777" w:rsidR="007B3D13" w:rsidRPr="00F46291" w:rsidRDefault="007B3D13" w:rsidP="002219AF">
      <w:pPr>
        <w:widowControl w:val="0"/>
        <w:autoSpaceDE w:val="0"/>
        <w:autoSpaceDN w:val="0"/>
        <w:adjustRightInd w:val="0"/>
        <w:jc w:val="center"/>
        <w:rPr>
          <w:rFonts w:ascii="Calibri" w:hAnsi="Calibri"/>
          <w:b/>
          <w:bCs/>
          <w:sz w:val="22"/>
          <w:szCs w:val="22"/>
        </w:rPr>
      </w:pPr>
      <w:r w:rsidRPr="00F46291">
        <w:rPr>
          <w:rFonts w:ascii="Calibri" w:hAnsi="Calibri"/>
          <w:b/>
          <w:bCs/>
          <w:sz w:val="22"/>
          <w:szCs w:val="22"/>
        </w:rPr>
        <w:t>CITY OF BINGHAM</w:t>
      </w:r>
    </w:p>
    <w:p w14:paraId="7DC165BD" w14:textId="77777777" w:rsidR="007B3D13" w:rsidRPr="00F46291" w:rsidRDefault="007B3D13" w:rsidP="002219AF">
      <w:pPr>
        <w:widowControl w:val="0"/>
        <w:autoSpaceDE w:val="0"/>
        <w:autoSpaceDN w:val="0"/>
        <w:adjustRightInd w:val="0"/>
        <w:jc w:val="center"/>
        <w:rPr>
          <w:rFonts w:ascii="Calibri" w:hAnsi="Calibri"/>
          <w:b/>
          <w:bCs/>
          <w:sz w:val="22"/>
          <w:szCs w:val="22"/>
        </w:rPr>
      </w:pPr>
      <w:r w:rsidRPr="00F46291">
        <w:rPr>
          <w:rFonts w:ascii="Calibri" w:hAnsi="Calibri"/>
          <w:b/>
          <w:bCs/>
          <w:sz w:val="22"/>
          <w:szCs w:val="22"/>
        </w:rPr>
        <w:t>Water Utility Fund</w:t>
      </w:r>
    </w:p>
    <w:p w14:paraId="7F68ED88" w14:textId="77777777" w:rsidR="007B3D13" w:rsidRPr="00F46291" w:rsidRDefault="007B3D13" w:rsidP="002219AF">
      <w:pPr>
        <w:widowControl w:val="0"/>
        <w:autoSpaceDE w:val="0"/>
        <w:autoSpaceDN w:val="0"/>
        <w:adjustRightInd w:val="0"/>
        <w:jc w:val="center"/>
        <w:rPr>
          <w:rFonts w:ascii="Calibri" w:hAnsi="Calibri"/>
          <w:b/>
          <w:bCs/>
          <w:sz w:val="22"/>
          <w:szCs w:val="22"/>
        </w:rPr>
      </w:pPr>
      <w:r w:rsidRPr="00F46291">
        <w:rPr>
          <w:rFonts w:ascii="Calibri" w:hAnsi="Calibri"/>
          <w:b/>
          <w:bCs/>
          <w:sz w:val="22"/>
          <w:szCs w:val="22"/>
        </w:rPr>
        <w:t>Trial Balance</w:t>
      </w:r>
    </w:p>
    <w:p w14:paraId="776D6D91" w14:textId="77777777" w:rsidR="007B3D13" w:rsidRPr="00F46291" w:rsidRDefault="007B3D13" w:rsidP="002219AF">
      <w:pPr>
        <w:widowControl w:val="0"/>
        <w:autoSpaceDE w:val="0"/>
        <w:autoSpaceDN w:val="0"/>
        <w:adjustRightInd w:val="0"/>
        <w:jc w:val="center"/>
        <w:rPr>
          <w:rFonts w:ascii="Calibri" w:hAnsi="Calibri"/>
          <w:b/>
          <w:bCs/>
          <w:sz w:val="22"/>
          <w:szCs w:val="22"/>
        </w:rPr>
      </w:pPr>
      <w:r w:rsidRPr="00F46291">
        <w:rPr>
          <w:rFonts w:ascii="Calibri" w:hAnsi="Calibri"/>
          <w:b/>
          <w:bCs/>
          <w:sz w:val="22"/>
          <w:szCs w:val="22"/>
        </w:rPr>
        <w:t xml:space="preserve">As of </w:t>
      </w:r>
      <w:r w:rsidR="00D9276B" w:rsidRPr="00F46291">
        <w:rPr>
          <w:rFonts w:ascii="Calibri" w:hAnsi="Calibri"/>
          <w:b/>
          <w:bCs/>
          <w:sz w:val="22"/>
          <w:szCs w:val="22"/>
        </w:rPr>
        <w:t>December 31, 2016</w:t>
      </w:r>
    </w:p>
    <w:p w14:paraId="3C115AEC" w14:textId="77777777" w:rsidR="007B3D13" w:rsidRPr="00F46291" w:rsidRDefault="007B3D13" w:rsidP="00EC0271">
      <w:pPr>
        <w:widowControl w:val="0"/>
        <w:autoSpaceDE w:val="0"/>
        <w:autoSpaceDN w:val="0"/>
        <w:adjustRightInd w:val="0"/>
        <w:jc w:val="both"/>
        <w:rPr>
          <w:rFonts w:ascii="Calibri" w:hAnsi="Calibri"/>
          <w:b/>
          <w:bCs/>
          <w:sz w:val="22"/>
          <w:szCs w:val="22"/>
        </w:rPr>
      </w:pPr>
    </w:p>
    <w:p w14:paraId="00D9E455" w14:textId="77777777" w:rsidR="007B3D13" w:rsidRPr="00F46291" w:rsidRDefault="007B3D13" w:rsidP="00EC0271">
      <w:pPr>
        <w:widowControl w:val="0"/>
        <w:tabs>
          <w:tab w:val="center" w:pos="5040"/>
          <w:tab w:val="center" w:pos="6480"/>
        </w:tabs>
        <w:autoSpaceDE w:val="0"/>
        <w:autoSpaceDN w:val="0"/>
        <w:adjustRightInd w:val="0"/>
        <w:jc w:val="both"/>
        <w:rPr>
          <w:rFonts w:ascii="Calibri" w:hAnsi="Calibri"/>
          <w:iCs/>
          <w:sz w:val="22"/>
          <w:szCs w:val="22"/>
          <w:u w:val="single"/>
        </w:rPr>
      </w:pPr>
      <w:r w:rsidRPr="00F46291">
        <w:rPr>
          <w:rFonts w:ascii="Calibri" w:hAnsi="Calibri"/>
          <w:iCs/>
          <w:sz w:val="22"/>
          <w:szCs w:val="22"/>
        </w:rPr>
        <w:tab/>
      </w:r>
      <w:r w:rsidRPr="00F46291">
        <w:rPr>
          <w:rFonts w:ascii="Calibri" w:hAnsi="Calibri"/>
          <w:iCs/>
          <w:sz w:val="22"/>
          <w:szCs w:val="22"/>
          <w:u w:val="single"/>
        </w:rPr>
        <w:t xml:space="preserve">Debits </w:t>
      </w:r>
      <w:r w:rsidRPr="00F46291">
        <w:rPr>
          <w:rFonts w:ascii="Calibri" w:hAnsi="Calibri"/>
          <w:iCs/>
          <w:sz w:val="22"/>
          <w:szCs w:val="22"/>
          <w:u w:val="single"/>
        </w:rPr>
        <w:tab/>
        <w:t>Credits</w:t>
      </w:r>
    </w:p>
    <w:p w14:paraId="42194721"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 xml:space="preserve">Cash </w:t>
      </w:r>
      <w:r w:rsidRPr="00F46291">
        <w:rPr>
          <w:rFonts w:ascii="Calibri" w:hAnsi="Calibri"/>
          <w:sz w:val="22"/>
          <w:szCs w:val="22"/>
        </w:rPr>
        <w:tab/>
        <w:t xml:space="preserve">$    </w:t>
      </w:r>
      <w:r w:rsidR="00BD63B9" w:rsidRPr="00F46291">
        <w:rPr>
          <w:rFonts w:ascii="Calibri" w:hAnsi="Calibri"/>
          <w:sz w:val="22"/>
          <w:szCs w:val="22"/>
        </w:rPr>
        <w:t>5</w:t>
      </w:r>
      <w:r w:rsidR="00084AFA" w:rsidRPr="00F46291">
        <w:rPr>
          <w:rFonts w:ascii="Calibri" w:hAnsi="Calibri"/>
          <w:sz w:val="22"/>
          <w:szCs w:val="22"/>
        </w:rPr>
        <w:t>13,395</w:t>
      </w:r>
    </w:p>
    <w:p w14:paraId="5ECA83F2"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Restrict</w:t>
      </w:r>
      <w:r w:rsidR="00084AFA" w:rsidRPr="00F46291">
        <w:rPr>
          <w:rFonts w:ascii="Calibri" w:hAnsi="Calibri"/>
          <w:sz w:val="22"/>
          <w:szCs w:val="22"/>
        </w:rPr>
        <w:t xml:space="preserve">ed Cash—Customer Deposits </w:t>
      </w:r>
      <w:r w:rsidR="00084AFA" w:rsidRPr="00F46291">
        <w:rPr>
          <w:rFonts w:ascii="Calibri" w:hAnsi="Calibri"/>
          <w:sz w:val="22"/>
          <w:szCs w:val="22"/>
        </w:rPr>
        <w:tab/>
        <w:t>62,92</w:t>
      </w:r>
      <w:r w:rsidRPr="00F46291">
        <w:rPr>
          <w:rFonts w:ascii="Calibri" w:hAnsi="Calibri"/>
          <w:sz w:val="22"/>
          <w:szCs w:val="22"/>
        </w:rPr>
        <w:t>0</w:t>
      </w:r>
    </w:p>
    <w:p w14:paraId="1A34C0BF"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C</w:t>
      </w:r>
      <w:r w:rsidR="00084AFA" w:rsidRPr="00F46291">
        <w:rPr>
          <w:rFonts w:ascii="Calibri" w:hAnsi="Calibri"/>
          <w:sz w:val="22"/>
          <w:szCs w:val="22"/>
        </w:rPr>
        <w:t xml:space="preserve">ustomer Accounts Receivable </w:t>
      </w:r>
      <w:r w:rsidR="00084AFA" w:rsidRPr="00F46291">
        <w:rPr>
          <w:rFonts w:ascii="Calibri" w:hAnsi="Calibri"/>
          <w:sz w:val="22"/>
          <w:szCs w:val="22"/>
        </w:rPr>
        <w:tab/>
        <w:t>176,484</w:t>
      </w:r>
    </w:p>
    <w:p w14:paraId="74D30D17"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 xml:space="preserve">Accumulated Provision for </w:t>
      </w:r>
    </w:p>
    <w:p w14:paraId="5FAA23EA"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r>
      <w:r w:rsidRPr="00F46291">
        <w:rPr>
          <w:rFonts w:ascii="Calibri" w:hAnsi="Calibri"/>
          <w:sz w:val="22"/>
          <w:szCs w:val="22"/>
        </w:rPr>
        <w:tab/>
        <w:t>Uncollectible Accounts</w:t>
      </w:r>
      <w:r w:rsidRPr="00F46291">
        <w:rPr>
          <w:rFonts w:ascii="Calibri" w:hAnsi="Calibri"/>
          <w:sz w:val="22"/>
          <w:szCs w:val="22"/>
        </w:rPr>
        <w:tab/>
      </w:r>
      <w:r w:rsidRPr="00F46291">
        <w:rPr>
          <w:rFonts w:ascii="Calibri" w:hAnsi="Calibri"/>
          <w:sz w:val="22"/>
          <w:szCs w:val="22"/>
        </w:rPr>
        <w:tab/>
        <w:t xml:space="preserve">$      </w:t>
      </w:r>
      <w:r w:rsidR="00084AFA" w:rsidRPr="00F46291">
        <w:rPr>
          <w:rFonts w:ascii="Calibri" w:hAnsi="Calibri"/>
          <w:sz w:val="22"/>
          <w:szCs w:val="22"/>
        </w:rPr>
        <w:t>5,192</w:t>
      </w:r>
    </w:p>
    <w:p w14:paraId="1D30ABE4"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Inventory of Suppl</w:t>
      </w:r>
      <w:r w:rsidR="00084AFA" w:rsidRPr="00F46291">
        <w:rPr>
          <w:rFonts w:ascii="Calibri" w:hAnsi="Calibri"/>
          <w:sz w:val="22"/>
          <w:szCs w:val="22"/>
        </w:rPr>
        <w:t>ies</w:t>
      </w:r>
      <w:r w:rsidR="00084AFA" w:rsidRPr="00F46291">
        <w:rPr>
          <w:rFonts w:ascii="Calibri" w:hAnsi="Calibri"/>
          <w:sz w:val="22"/>
          <w:szCs w:val="22"/>
        </w:rPr>
        <w:tab/>
        <w:t>103,560</w:t>
      </w:r>
    </w:p>
    <w:p w14:paraId="6F3F022C" w14:textId="77777777" w:rsidR="007B3D13" w:rsidRPr="00F46291" w:rsidRDefault="00084AFA"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Due from Other Funds</w:t>
      </w:r>
      <w:r w:rsidRPr="00F46291">
        <w:rPr>
          <w:rFonts w:ascii="Calibri" w:hAnsi="Calibri"/>
          <w:sz w:val="22"/>
          <w:szCs w:val="22"/>
        </w:rPr>
        <w:tab/>
        <w:t>14,3</w:t>
      </w:r>
      <w:r w:rsidR="007B3D13" w:rsidRPr="00F46291">
        <w:rPr>
          <w:rFonts w:ascii="Calibri" w:hAnsi="Calibri"/>
          <w:sz w:val="22"/>
          <w:szCs w:val="22"/>
        </w:rPr>
        <w:t>00</w:t>
      </w:r>
    </w:p>
    <w:p w14:paraId="5F43429A" w14:textId="77777777" w:rsidR="007B3D13" w:rsidRPr="00F46291" w:rsidRDefault="00084AFA"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Utility Plant in Service</w:t>
      </w:r>
      <w:r w:rsidRPr="00F46291">
        <w:rPr>
          <w:rFonts w:ascii="Calibri" w:hAnsi="Calibri"/>
          <w:sz w:val="22"/>
          <w:szCs w:val="22"/>
        </w:rPr>
        <w:tab/>
        <w:t>20,900,429</w:t>
      </w:r>
    </w:p>
    <w:p w14:paraId="325EE816"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Accumulated Depreciation—</w:t>
      </w:r>
    </w:p>
    <w:p w14:paraId="7DFA5B2C" w14:textId="77777777" w:rsidR="007B3D13" w:rsidRPr="00F46291" w:rsidRDefault="00BD63B9"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r>
      <w:r w:rsidRPr="00F46291">
        <w:rPr>
          <w:rFonts w:ascii="Calibri" w:hAnsi="Calibri"/>
          <w:sz w:val="22"/>
          <w:szCs w:val="22"/>
        </w:rPr>
        <w:tab/>
        <w:t>Utility Plant</w:t>
      </w:r>
      <w:r w:rsidRPr="00F46291">
        <w:rPr>
          <w:rFonts w:ascii="Calibri" w:hAnsi="Calibri"/>
          <w:sz w:val="22"/>
          <w:szCs w:val="22"/>
        </w:rPr>
        <w:tab/>
      </w:r>
      <w:r w:rsidRPr="00F46291">
        <w:rPr>
          <w:rFonts w:ascii="Calibri" w:hAnsi="Calibri"/>
          <w:sz w:val="22"/>
          <w:szCs w:val="22"/>
        </w:rPr>
        <w:tab/>
        <w:t>4,6</w:t>
      </w:r>
      <w:r w:rsidR="00084AFA" w:rsidRPr="00F46291">
        <w:rPr>
          <w:rFonts w:ascii="Calibri" w:hAnsi="Calibri"/>
          <w:sz w:val="22"/>
          <w:szCs w:val="22"/>
        </w:rPr>
        <w:t>12,406</w:t>
      </w:r>
    </w:p>
    <w:p w14:paraId="08889642"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Constr</w:t>
      </w:r>
      <w:r w:rsidR="00084AFA" w:rsidRPr="00F46291">
        <w:rPr>
          <w:rFonts w:ascii="Calibri" w:hAnsi="Calibri"/>
          <w:sz w:val="22"/>
          <w:szCs w:val="22"/>
        </w:rPr>
        <w:t>uction Work in Progress</w:t>
      </w:r>
      <w:r w:rsidR="00084AFA" w:rsidRPr="00F46291">
        <w:rPr>
          <w:rFonts w:ascii="Calibri" w:hAnsi="Calibri"/>
          <w:sz w:val="22"/>
          <w:szCs w:val="22"/>
        </w:rPr>
        <w:tab/>
        <w:t>1,308,34</w:t>
      </w:r>
      <w:r w:rsidRPr="00F46291">
        <w:rPr>
          <w:rFonts w:ascii="Calibri" w:hAnsi="Calibri"/>
          <w:sz w:val="22"/>
          <w:szCs w:val="22"/>
        </w:rPr>
        <w:t>0</w:t>
      </w:r>
    </w:p>
    <w:p w14:paraId="7AF90B69"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Voucher</w:t>
      </w:r>
      <w:r w:rsidR="00E63C91" w:rsidRPr="00F46291">
        <w:rPr>
          <w:rFonts w:ascii="Calibri" w:hAnsi="Calibri"/>
          <w:sz w:val="22"/>
          <w:szCs w:val="22"/>
        </w:rPr>
        <w:t>s Payable</w:t>
      </w:r>
      <w:r w:rsidR="00E63C91" w:rsidRPr="00F46291">
        <w:rPr>
          <w:rFonts w:ascii="Calibri" w:hAnsi="Calibri"/>
          <w:sz w:val="22"/>
          <w:szCs w:val="22"/>
        </w:rPr>
        <w:tab/>
      </w:r>
      <w:r w:rsidR="00E63C91" w:rsidRPr="00F46291">
        <w:rPr>
          <w:rFonts w:ascii="Calibri" w:hAnsi="Calibri"/>
          <w:sz w:val="22"/>
          <w:szCs w:val="22"/>
        </w:rPr>
        <w:tab/>
        <w:t>81</w:t>
      </w:r>
      <w:r w:rsidR="00084AFA" w:rsidRPr="00F46291">
        <w:rPr>
          <w:rFonts w:ascii="Calibri" w:hAnsi="Calibri"/>
          <w:sz w:val="22"/>
          <w:szCs w:val="22"/>
        </w:rPr>
        <w:t>,662</w:t>
      </w:r>
    </w:p>
    <w:p w14:paraId="3F37A624" w14:textId="77777777" w:rsidR="007B3D13" w:rsidRPr="00F46291" w:rsidRDefault="00084AFA"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Customer Deposits</w:t>
      </w:r>
      <w:r w:rsidRPr="00F46291">
        <w:rPr>
          <w:rFonts w:ascii="Calibri" w:hAnsi="Calibri"/>
          <w:sz w:val="22"/>
          <w:szCs w:val="22"/>
        </w:rPr>
        <w:tab/>
      </w:r>
      <w:r w:rsidRPr="00F46291">
        <w:rPr>
          <w:rFonts w:ascii="Calibri" w:hAnsi="Calibri"/>
          <w:sz w:val="22"/>
          <w:szCs w:val="22"/>
        </w:rPr>
        <w:tab/>
        <w:t>62,92</w:t>
      </w:r>
      <w:r w:rsidR="007B3D13" w:rsidRPr="00F46291">
        <w:rPr>
          <w:rFonts w:ascii="Calibri" w:hAnsi="Calibri"/>
          <w:sz w:val="22"/>
          <w:szCs w:val="22"/>
        </w:rPr>
        <w:t>0</w:t>
      </w:r>
    </w:p>
    <w:p w14:paraId="54ED9B9A"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 xml:space="preserve">Accrued </w:t>
      </w:r>
      <w:r w:rsidR="00084AFA" w:rsidRPr="00F46291">
        <w:rPr>
          <w:rFonts w:ascii="Calibri" w:hAnsi="Calibri"/>
          <w:sz w:val="22"/>
          <w:szCs w:val="22"/>
        </w:rPr>
        <w:t>Interest Payable</w:t>
      </w:r>
      <w:r w:rsidR="00084AFA" w:rsidRPr="00F46291">
        <w:rPr>
          <w:rFonts w:ascii="Calibri" w:hAnsi="Calibri"/>
          <w:sz w:val="22"/>
          <w:szCs w:val="22"/>
        </w:rPr>
        <w:tab/>
      </w:r>
      <w:r w:rsidR="00084AFA" w:rsidRPr="00F46291">
        <w:rPr>
          <w:rFonts w:ascii="Calibri" w:hAnsi="Calibri"/>
          <w:sz w:val="22"/>
          <w:szCs w:val="22"/>
        </w:rPr>
        <w:tab/>
        <w:t>477</w:t>
      </w:r>
      <w:r w:rsidRPr="00F46291">
        <w:rPr>
          <w:rFonts w:ascii="Calibri" w:hAnsi="Calibri"/>
          <w:sz w:val="22"/>
          <w:szCs w:val="22"/>
        </w:rPr>
        <w:t>,</w:t>
      </w:r>
      <w:r w:rsidR="00084AFA" w:rsidRPr="00F46291">
        <w:rPr>
          <w:rFonts w:ascii="Calibri" w:hAnsi="Calibri"/>
          <w:sz w:val="22"/>
          <w:szCs w:val="22"/>
        </w:rPr>
        <w:t>5</w:t>
      </w:r>
      <w:r w:rsidRPr="00F46291">
        <w:rPr>
          <w:rFonts w:ascii="Calibri" w:hAnsi="Calibri"/>
          <w:sz w:val="22"/>
          <w:szCs w:val="22"/>
        </w:rPr>
        <w:t>10</w:t>
      </w:r>
    </w:p>
    <w:p w14:paraId="3A774BB2"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r>
      <w:r w:rsidR="00084AFA" w:rsidRPr="00F46291">
        <w:rPr>
          <w:rFonts w:ascii="Calibri" w:hAnsi="Calibri"/>
          <w:sz w:val="22"/>
          <w:szCs w:val="22"/>
        </w:rPr>
        <w:t>Revenue Bonds Payable</w:t>
      </w:r>
      <w:r w:rsidR="00084AFA" w:rsidRPr="00F46291">
        <w:rPr>
          <w:rFonts w:ascii="Calibri" w:hAnsi="Calibri"/>
          <w:sz w:val="22"/>
          <w:szCs w:val="22"/>
        </w:rPr>
        <w:tab/>
      </w:r>
      <w:r w:rsidR="00084AFA" w:rsidRPr="00F46291">
        <w:rPr>
          <w:rFonts w:ascii="Calibri" w:hAnsi="Calibri"/>
          <w:sz w:val="22"/>
          <w:szCs w:val="22"/>
        </w:rPr>
        <w:tab/>
        <w:t>15,917</w:t>
      </w:r>
      <w:r w:rsidRPr="00F46291">
        <w:rPr>
          <w:rFonts w:ascii="Calibri" w:hAnsi="Calibri"/>
          <w:sz w:val="22"/>
          <w:szCs w:val="22"/>
        </w:rPr>
        <w:t>,000</w:t>
      </w:r>
    </w:p>
    <w:p w14:paraId="0D9FC2F5"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Unamortized Bond Discount</w:t>
      </w:r>
      <w:r w:rsidR="00DB370A" w:rsidRPr="00F46291">
        <w:rPr>
          <w:rFonts w:ascii="Calibri" w:hAnsi="Calibri"/>
          <w:sz w:val="22"/>
          <w:szCs w:val="22"/>
        </w:rPr>
        <w:t>s</w:t>
      </w:r>
    </w:p>
    <w:p w14:paraId="4506FBEF"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 xml:space="preserve">    on Revenue Bonds Payable</w:t>
      </w:r>
      <w:r w:rsidRPr="00F46291">
        <w:rPr>
          <w:rFonts w:ascii="Calibri" w:hAnsi="Calibri"/>
          <w:sz w:val="22"/>
          <w:szCs w:val="22"/>
        </w:rPr>
        <w:tab/>
      </w:r>
      <w:r w:rsidR="00084AFA" w:rsidRPr="00F46291">
        <w:rPr>
          <w:rFonts w:ascii="Calibri" w:hAnsi="Calibri"/>
          <w:sz w:val="22"/>
          <w:szCs w:val="22"/>
        </w:rPr>
        <w:t>71</w:t>
      </w:r>
      <w:r w:rsidRPr="00F46291">
        <w:rPr>
          <w:rFonts w:ascii="Calibri" w:hAnsi="Calibri"/>
          <w:sz w:val="22"/>
          <w:szCs w:val="22"/>
        </w:rPr>
        <w:t>,</w:t>
      </w:r>
      <w:r w:rsidR="00084AFA" w:rsidRPr="00F46291">
        <w:rPr>
          <w:rFonts w:ascii="Calibri" w:hAnsi="Calibri"/>
          <w:sz w:val="22"/>
          <w:szCs w:val="22"/>
        </w:rPr>
        <w:t>72</w:t>
      </w:r>
      <w:r w:rsidRPr="00F46291">
        <w:rPr>
          <w:rFonts w:ascii="Calibri" w:hAnsi="Calibri"/>
          <w:sz w:val="22"/>
          <w:szCs w:val="22"/>
        </w:rPr>
        <w:t>0</w:t>
      </w:r>
    </w:p>
    <w:p w14:paraId="37FBCBE1"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Net Position</w:t>
      </w:r>
      <w:r w:rsidR="007B43D4" w:rsidRPr="00F46291">
        <w:rPr>
          <w:rFonts w:ascii="Calibri" w:hAnsi="Calibri"/>
          <w:sz w:val="22"/>
          <w:szCs w:val="22"/>
        </w:rPr>
        <w:t>—</w:t>
      </w:r>
      <w:r w:rsidRPr="00F46291">
        <w:rPr>
          <w:rFonts w:ascii="Calibri" w:hAnsi="Calibri"/>
          <w:sz w:val="22"/>
          <w:szCs w:val="22"/>
        </w:rPr>
        <w:t>Net Investment in Capital</w:t>
      </w:r>
    </w:p>
    <w:p w14:paraId="51C9383A"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r>
      <w:r w:rsidRPr="00F46291">
        <w:rPr>
          <w:rFonts w:ascii="Calibri" w:hAnsi="Calibri"/>
          <w:sz w:val="22"/>
          <w:szCs w:val="22"/>
        </w:rPr>
        <w:tab/>
        <w:t xml:space="preserve">Assets </w:t>
      </w:r>
      <w:r w:rsidRPr="00F46291">
        <w:rPr>
          <w:rFonts w:ascii="Calibri" w:hAnsi="Calibri"/>
          <w:sz w:val="22"/>
          <w:szCs w:val="22"/>
        </w:rPr>
        <w:tab/>
      </w:r>
      <w:r w:rsidRPr="00F46291">
        <w:rPr>
          <w:rFonts w:ascii="Calibri" w:hAnsi="Calibri"/>
          <w:sz w:val="22"/>
          <w:szCs w:val="22"/>
        </w:rPr>
        <w:tab/>
        <w:t>1,</w:t>
      </w:r>
      <w:r w:rsidR="00BD63B9" w:rsidRPr="00F46291">
        <w:rPr>
          <w:rFonts w:ascii="Calibri" w:hAnsi="Calibri"/>
          <w:sz w:val="22"/>
          <w:szCs w:val="22"/>
        </w:rPr>
        <w:t>7</w:t>
      </w:r>
      <w:r w:rsidR="00084AFA" w:rsidRPr="00F46291">
        <w:rPr>
          <w:rFonts w:ascii="Calibri" w:hAnsi="Calibri"/>
          <w:sz w:val="22"/>
          <w:szCs w:val="22"/>
        </w:rPr>
        <w:t>51,083</w:t>
      </w:r>
    </w:p>
    <w:p w14:paraId="2F7ED978" w14:textId="77777777" w:rsidR="007B3D13" w:rsidRPr="00F46291" w:rsidRDefault="007B3D13" w:rsidP="00EC0271">
      <w:pPr>
        <w:widowControl w:val="0"/>
        <w:tabs>
          <w:tab w:val="left" w:pos="360"/>
          <w:tab w:val="left" w:pos="720"/>
          <w:tab w:val="left" w:pos="441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t>Net Position</w:t>
      </w:r>
      <w:r w:rsidR="007B43D4" w:rsidRPr="00F46291">
        <w:rPr>
          <w:rFonts w:ascii="Calibri" w:hAnsi="Calibri"/>
          <w:sz w:val="22"/>
          <w:szCs w:val="22"/>
        </w:rPr>
        <w:t>—</w:t>
      </w:r>
      <w:r w:rsidRPr="00F46291">
        <w:rPr>
          <w:rFonts w:ascii="Calibri" w:hAnsi="Calibri"/>
          <w:sz w:val="22"/>
          <w:szCs w:val="22"/>
        </w:rPr>
        <w:t>Unrestricted</w:t>
      </w:r>
      <w:r w:rsidRPr="00F46291">
        <w:rPr>
          <w:rFonts w:ascii="Calibri" w:hAnsi="Calibri"/>
          <w:sz w:val="22"/>
          <w:szCs w:val="22"/>
        </w:rPr>
        <w:tab/>
      </w:r>
      <w:r w:rsidRPr="00F46291">
        <w:rPr>
          <w:rFonts w:ascii="Calibri" w:hAnsi="Calibri"/>
          <w:sz w:val="22"/>
          <w:szCs w:val="22"/>
          <w:u w:val="single"/>
        </w:rPr>
        <w:tab/>
      </w:r>
      <w:r w:rsidRPr="00F46291">
        <w:rPr>
          <w:rFonts w:ascii="Calibri" w:hAnsi="Calibri"/>
          <w:sz w:val="22"/>
          <w:szCs w:val="22"/>
        </w:rPr>
        <w:tab/>
      </w:r>
      <w:r w:rsidRPr="00F46291">
        <w:rPr>
          <w:rFonts w:ascii="Calibri" w:hAnsi="Calibri"/>
          <w:sz w:val="22"/>
          <w:szCs w:val="22"/>
          <w:u w:val="single"/>
        </w:rPr>
        <w:t xml:space="preserve">       </w:t>
      </w:r>
      <w:r w:rsidR="00BD63B9" w:rsidRPr="00F46291">
        <w:rPr>
          <w:rFonts w:ascii="Calibri" w:hAnsi="Calibri"/>
          <w:sz w:val="22"/>
          <w:szCs w:val="22"/>
          <w:u w:val="single"/>
        </w:rPr>
        <w:t>2</w:t>
      </w:r>
      <w:r w:rsidR="00084AFA" w:rsidRPr="00F46291">
        <w:rPr>
          <w:rFonts w:ascii="Calibri" w:hAnsi="Calibri"/>
          <w:sz w:val="22"/>
          <w:szCs w:val="22"/>
          <w:u w:val="single"/>
        </w:rPr>
        <w:t>43,375</w:t>
      </w:r>
    </w:p>
    <w:p w14:paraId="3069A69D" w14:textId="77777777" w:rsidR="007B3D13" w:rsidRPr="00F46291" w:rsidRDefault="007B3D13" w:rsidP="00EC0271">
      <w:pPr>
        <w:widowControl w:val="0"/>
        <w:tabs>
          <w:tab w:val="left" w:pos="360"/>
          <w:tab w:val="left" w:pos="720"/>
          <w:tab w:val="right" w:pos="5580"/>
          <w:tab w:val="right" w:pos="7020"/>
        </w:tabs>
        <w:autoSpaceDE w:val="0"/>
        <w:autoSpaceDN w:val="0"/>
        <w:adjustRightInd w:val="0"/>
        <w:jc w:val="both"/>
        <w:rPr>
          <w:rFonts w:ascii="Calibri" w:hAnsi="Calibri"/>
          <w:sz w:val="22"/>
          <w:szCs w:val="22"/>
        </w:rPr>
      </w:pPr>
      <w:r w:rsidRPr="00F46291">
        <w:rPr>
          <w:rFonts w:ascii="Calibri" w:hAnsi="Calibri"/>
          <w:sz w:val="22"/>
          <w:szCs w:val="22"/>
        </w:rPr>
        <w:tab/>
      </w:r>
      <w:r w:rsidRPr="00F46291">
        <w:rPr>
          <w:rFonts w:ascii="Calibri" w:hAnsi="Calibri"/>
          <w:sz w:val="22"/>
          <w:szCs w:val="22"/>
        </w:rPr>
        <w:tab/>
        <w:t xml:space="preserve">Totals </w:t>
      </w:r>
      <w:r w:rsidRPr="00F46291">
        <w:rPr>
          <w:rFonts w:ascii="Calibri" w:hAnsi="Calibri"/>
          <w:sz w:val="22"/>
          <w:szCs w:val="22"/>
        </w:rPr>
        <w:tab/>
        <w:t xml:space="preserve"> </w:t>
      </w:r>
      <w:r w:rsidRPr="00F46291">
        <w:rPr>
          <w:rFonts w:ascii="Calibri" w:hAnsi="Calibri"/>
          <w:sz w:val="22"/>
          <w:szCs w:val="22"/>
          <w:u w:val="double"/>
        </w:rPr>
        <w:t>$2</w:t>
      </w:r>
      <w:r w:rsidR="00BD63B9" w:rsidRPr="00F46291">
        <w:rPr>
          <w:rFonts w:ascii="Calibri" w:hAnsi="Calibri"/>
          <w:sz w:val="22"/>
          <w:szCs w:val="22"/>
          <w:u w:val="double"/>
        </w:rPr>
        <w:t>3</w:t>
      </w:r>
      <w:r w:rsidRPr="00F46291">
        <w:rPr>
          <w:rFonts w:ascii="Calibri" w:hAnsi="Calibri"/>
          <w:sz w:val="22"/>
          <w:szCs w:val="22"/>
          <w:u w:val="double"/>
        </w:rPr>
        <w:t>,</w:t>
      </w:r>
      <w:r w:rsidR="00BD63B9" w:rsidRPr="00F46291">
        <w:rPr>
          <w:rFonts w:ascii="Calibri" w:hAnsi="Calibri"/>
          <w:sz w:val="22"/>
          <w:szCs w:val="22"/>
          <w:u w:val="double"/>
        </w:rPr>
        <w:t>1</w:t>
      </w:r>
      <w:r w:rsidR="00084AFA" w:rsidRPr="00F46291">
        <w:rPr>
          <w:rFonts w:ascii="Calibri" w:hAnsi="Calibri"/>
          <w:sz w:val="22"/>
          <w:szCs w:val="22"/>
          <w:u w:val="double"/>
        </w:rPr>
        <w:t>51</w:t>
      </w:r>
      <w:r w:rsidRPr="00F46291">
        <w:rPr>
          <w:rFonts w:ascii="Calibri" w:hAnsi="Calibri"/>
          <w:sz w:val="22"/>
          <w:szCs w:val="22"/>
          <w:u w:val="double"/>
        </w:rPr>
        <w:t>,</w:t>
      </w:r>
      <w:r w:rsidR="00084AFA" w:rsidRPr="00F46291">
        <w:rPr>
          <w:rFonts w:ascii="Calibri" w:hAnsi="Calibri"/>
          <w:sz w:val="22"/>
          <w:szCs w:val="22"/>
          <w:u w:val="double"/>
        </w:rPr>
        <w:t>148</w:t>
      </w:r>
      <w:r w:rsidRPr="00F46291">
        <w:rPr>
          <w:rFonts w:ascii="Calibri" w:hAnsi="Calibri"/>
          <w:sz w:val="22"/>
          <w:szCs w:val="22"/>
        </w:rPr>
        <w:t xml:space="preserve"> </w:t>
      </w:r>
      <w:r w:rsidRPr="00F46291">
        <w:rPr>
          <w:rFonts w:ascii="Calibri" w:hAnsi="Calibri"/>
          <w:sz w:val="22"/>
          <w:szCs w:val="22"/>
        </w:rPr>
        <w:tab/>
      </w:r>
      <w:r w:rsidRPr="00F46291">
        <w:rPr>
          <w:rFonts w:ascii="Calibri" w:hAnsi="Calibri"/>
          <w:sz w:val="22"/>
          <w:szCs w:val="22"/>
          <w:u w:val="double"/>
        </w:rPr>
        <w:t>$2</w:t>
      </w:r>
      <w:r w:rsidR="00BD63B9" w:rsidRPr="00F46291">
        <w:rPr>
          <w:rFonts w:ascii="Calibri" w:hAnsi="Calibri"/>
          <w:sz w:val="22"/>
          <w:szCs w:val="22"/>
          <w:u w:val="double"/>
        </w:rPr>
        <w:t>3</w:t>
      </w:r>
      <w:r w:rsidRPr="00F46291">
        <w:rPr>
          <w:rFonts w:ascii="Calibri" w:hAnsi="Calibri"/>
          <w:sz w:val="22"/>
          <w:szCs w:val="22"/>
          <w:u w:val="double"/>
        </w:rPr>
        <w:t>,</w:t>
      </w:r>
      <w:r w:rsidR="00BD63B9" w:rsidRPr="00F46291">
        <w:rPr>
          <w:rFonts w:ascii="Calibri" w:hAnsi="Calibri"/>
          <w:sz w:val="22"/>
          <w:szCs w:val="22"/>
          <w:u w:val="double"/>
        </w:rPr>
        <w:t>1</w:t>
      </w:r>
      <w:r w:rsidR="00084AFA" w:rsidRPr="00F46291">
        <w:rPr>
          <w:rFonts w:ascii="Calibri" w:hAnsi="Calibri"/>
          <w:sz w:val="22"/>
          <w:szCs w:val="22"/>
          <w:u w:val="double"/>
        </w:rPr>
        <w:t>51,148</w:t>
      </w:r>
    </w:p>
    <w:p w14:paraId="60299C97" w14:textId="77777777" w:rsidR="007B3D13" w:rsidRPr="00F46291" w:rsidRDefault="007B3D13" w:rsidP="00EC0271">
      <w:pPr>
        <w:widowControl w:val="0"/>
        <w:autoSpaceDE w:val="0"/>
        <w:autoSpaceDN w:val="0"/>
        <w:adjustRightInd w:val="0"/>
        <w:jc w:val="both"/>
        <w:rPr>
          <w:rFonts w:ascii="Calibri" w:hAnsi="Calibri"/>
          <w:sz w:val="22"/>
          <w:szCs w:val="22"/>
        </w:rPr>
      </w:pPr>
    </w:p>
    <w:p w14:paraId="736EAE05" w14:textId="77777777" w:rsidR="00E3638F" w:rsidRDefault="00E3638F" w:rsidP="00EC0271">
      <w:pPr>
        <w:widowControl w:val="0"/>
        <w:autoSpaceDE w:val="0"/>
        <w:autoSpaceDN w:val="0"/>
        <w:adjustRightInd w:val="0"/>
        <w:ind w:left="360"/>
        <w:jc w:val="both"/>
        <w:rPr>
          <w:rFonts w:ascii="Calibri" w:hAnsi="Calibri"/>
          <w:sz w:val="22"/>
          <w:szCs w:val="22"/>
        </w:rPr>
      </w:pPr>
    </w:p>
    <w:p w14:paraId="3769389A" w14:textId="58168810" w:rsidR="007B3D13" w:rsidRPr="00F46291" w:rsidRDefault="007B3D13" w:rsidP="00EC0271">
      <w:pPr>
        <w:widowControl w:val="0"/>
        <w:autoSpaceDE w:val="0"/>
        <w:autoSpaceDN w:val="0"/>
        <w:adjustRightInd w:val="0"/>
        <w:ind w:left="360"/>
        <w:jc w:val="both"/>
        <w:rPr>
          <w:rFonts w:ascii="Calibri" w:hAnsi="Calibri"/>
          <w:sz w:val="22"/>
          <w:szCs w:val="22"/>
        </w:rPr>
      </w:pPr>
      <w:r w:rsidRPr="00F46291">
        <w:rPr>
          <w:rFonts w:ascii="Calibri" w:hAnsi="Calibri"/>
          <w:sz w:val="22"/>
          <w:szCs w:val="22"/>
        </w:rPr>
        <w:t xml:space="preserve">Additional information: </w:t>
      </w:r>
    </w:p>
    <w:p w14:paraId="45803480" w14:textId="77777777" w:rsidR="007B3D13" w:rsidRPr="00F46291" w:rsidRDefault="007B3D13" w:rsidP="00EC0271">
      <w:pPr>
        <w:widowControl w:val="0"/>
        <w:autoSpaceDE w:val="0"/>
        <w:autoSpaceDN w:val="0"/>
        <w:adjustRightInd w:val="0"/>
        <w:ind w:left="360"/>
        <w:jc w:val="both"/>
        <w:rPr>
          <w:rFonts w:ascii="Calibri" w:hAnsi="Calibri"/>
          <w:sz w:val="22"/>
          <w:szCs w:val="22"/>
        </w:rPr>
      </w:pPr>
    </w:p>
    <w:p w14:paraId="626AED89" w14:textId="507FF86F" w:rsidR="007B3D13" w:rsidRPr="00F46291" w:rsidRDefault="007B3D13" w:rsidP="00EC0271">
      <w:pPr>
        <w:widowControl w:val="0"/>
        <w:autoSpaceDE w:val="0"/>
        <w:autoSpaceDN w:val="0"/>
        <w:adjustRightInd w:val="0"/>
        <w:ind w:left="360"/>
        <w:jc w:val="both"/>
        <w:rPr>
          <w:rFonts w:ascii="Calibri" w:hAnsi="Calibri"/>
          <w:sz w:val="22"/>
          <w:szCs w:val="22"/>
        </w:rPr>
      </w:pPr>
      <w:r w:rsidRPr="00F46291">
        <w:rPr>
          <w:rFonts w:ascii="Calibri" w:hAnsi="Calibri"/>
          <w:sz w:val="22"/>
          <w:szCs w:val="22"/>
        </w:rPr>
        <w:t>Accrued Interest Payable represents six mon</w:t>
      </w:r>
      <w:r w:rsidR="00DD0786" w:rsidRPr="00F46291">
        <w:rPr>
          <w:rFonts w:ascii="Calibri" w:hAnsi="Calibri"/>
          <w:sz w:val="22"/>
          <w:szCs w:val="22"/>
        </w:rPr>
        <w:t>ths’ accrual of interest on 6</w:t>
      </w:r>
      <w:r w:rsidRPr="00F46291">
        <w:rPr>
          <w:rFonts w:ascii="Calibri" w:hAnsi="Calibri"/>
          <w:sz w:val="22"/>
          <w:szCs w:val="22"/>
        </w:rPr>
        <w:t>% revenue bonds payable. Interest is payable semiannually on January 1 and July 1 of each year. Unamortized Bond Disco</w:t>
      </w:r>
      <w:r w:rsidR="00194C70">
        <w:rPr>
          <w:rFonts w:ascii="Calibri" w:hAnsi="Calibri"/>
          <w:sz w:val="22"/>
          <w:szCs w:val="22"/>
        </w:rPr>
        <w:t>unt is credited on January 1 and July 1</w:t>
      </w:r>
      <w:r w:rsidRPr="00F46291">
        <w:rPr>
          <w:rFonts w:ascii="Calibri" w:hAnsi="Calibri"/>
          <w:sz w:val="22"/>
          <w:szCs w:val="22"/>
        </w:rPr>
        <w:t xml:space="preserve"> for the amortization applicable to the interest payment period. Amortization is computed by the straight</w:t>
      </w:r>
      <w:r w:rsidR="000160DF" w:rsidRPr="00F46291">
        <w:rPr>
          <w:rFonts w:ascii="Calibri" w:hAnsi="Calibri"/>
          <w:sz w:val="22"/>
          <w:szCs w:val="22"/>
        </w:rPr>
        <w:t>-line method. The balance of $71</w:t>
      </w:r>
      <w:r w:rsidRPr="00F46291">
        <w:rPr>
          <w:rFonts w:ascii="Calibri" w:hAnsi="Calibri"/>
          <w:sz w:val="22"/>
          <w:szCs w:val="22"/>
        </w:rPr>
        <w:t>,</w:t>
      </w:r>
      <w:r w:rsidR="000160DF" w:rsidRPr="00F46291">
        <w:rPr>
          <w:rFonts w:ascii="Calibri" w:hAnsi="Calibri"/>
          <w:sz w:val="22"/>
          <w:szCs w:val="22"/>
        </w:rPr>
        <w:t>7</w:t>
      </w:r>
      <w:r w:rsidRPr="00F46291">
        <w:rPr>
          <w:rFonts w:ascii="Calibri" w:hAnsi="Calibri"/>
          <w:sz w:val="22"/>
          <w:szCs w:val="22"/>
        </w:rPr>
        <w:t xml:space="preserve">20 is to be amortized over </w:t>
      </w:r>
      <w:r w:rsidR="0037012A" w:rsidRPr="00F46291">
        <w:rPr>
          <w:rFonts w:ascii="Calibri" w:hAnsi="Calibri"/>
          <w:sz w:val="22"/>
          <w:szCs w:val="22"/>
        </w:rPr>
        <w:t xml:space="preserve">the remaining </w:t>
      </w:r>
      <w:r w:rsidRPr="00F46291">
        <w:rPr>
          <w:rFonts w:ascii="Calibri" w:hAnsi="Calibri"/>
          <w:sz w:val="22"/>
          <w:szCs w:val="22"/>
        </w:rPr>
        <w:t xml:space="preserve">20 </w:t>
      </w:r>
      <w:r w:rsidR="0037012A" w:rsidRPr="00F46291">
        <w:rPr>
          <w:rFonts w:ascii="Calibri" w:hAnsi="Calibri"/>
          <w:sz w:val="22"/>
          <w:szCs w:val="22"/>
        </w:rPr>
        <w:t>years of the bond maturity</w:t>
      </w:r>
      <w:r w:rsidRPr="00F46291">
        <w:rPr>
          <w:rFonts w:ascii="Calibri" w:hAnsi="Calibri"/>
          <w:sz w:val="22"/>
          <w:szCs w:val="22"/>
        </w:rPr>
        <w:t>.</w:t>
      </w:r>
    </w:p>
    <w:p w14:paraId="7DE9F247" w14:textId="7C399D07" w:rsidR="008A256C" w:rsidRPr="00F46291" w:rsidRDefault="008A256C" w:rsidP="00EC0271">
      <w:pPr>
        <w:widowControl w:val="0"/>
        <w:autoSpaceDE w:val="0"/>
        <w:autoSpaceDN w:val="0"/>
        <w:adjustRightInd w:val="0"/>
        <w:ind w:left="360"/>
        <w:jc w:val="both"/>
        <w:rPr>
          <w:rFonts w:ascii="Calibri" w:hAnsi="Calibri"/>
          <w:sz w:val="22"/>
          <w:szCs w:val="22"/>
        </w:rPr>
      </w:pPr>
    </w:p>
    <w:p w14:paraId="494A02B7" w14:textId="55A6D7A8" w:rsidR="008A256C" w:rsidRDefault="008A256C" w:rsidP="00EC0271">
      <w:pPr>
        <w:widowControl w:val="0"/>
        <w:autoSpaceDE w:val="0"/>
        <w:autoSpaceDN w:val="0"/>
        <w:adjustRightInd w:val="0"/>
        <w:ind w:left="360"/>
        <w:jc w:val="both"/>
        <w:rPr>
          <w:rFonts w:ascii="Calibri" w:hAnsi="Calibri"/>
          <w:sz w:val="22"/>
          <w:szCs w:val="22"/>
        </w:rPr>
      </w:pPr>
      <w:r w:rsidRPr="00F46291">
        <w:rPr>
          <w:rFonts w:ascii="Calibri" w:hAnsi="Calibri"/>
          <w:sz w:val="22"/>
          <w:szCs w:val="22"/>
        </w:rPr>
        <w:t>Customers place deposits on their accounts. Restricted Cash – Customer Deposits represents the amounts paid</w:t>
      </w:r>
      <w:r w:rsidR="00C7260A" w:rsidRPr="00F46291">
        <w:rPr>
          <w:rFonts w:ascii="Calibri" w:hAnsi="Calibri"/>
          <w:sz w:val="22"/>
          <w:szCs w:val="22"/>
        </w:rPr>
        <w:t>,</w:t>
      </w:r>
      <w:r w:rsidRPr="00F46291">
        <w:rPr>
          <w:rFonts w:ascii="Calibri" w:hAnsi="Calibri"/>
          <w:sz w:val="22"/>
          <w:szCs w:val="22"/>
        </w:rPr>
        <w:t xml:space="preserve"> and </w:t>
      </w:r>
      <w:r w:rsidRPr="00CA465E">
        <w:rPr>
          <w:rFonts w:ascii="Calibri" w:hAnsi="Calibri"/>
          <w:b/>
          <w:sz w:val="22"/>
          <w:szCs w:val="22"/>
        </w:rPr>
        <w:t xml:space="preserve">Customer Deposits reflects the liability of the fund associated with these payments.  </w:t>
      </w:r>
      <w:r w:rsidRPr="00F46291">
        <w:rPr>
          <w:rFonts w:ascii="Calibri" w:hAnsi="Calibri"/>
          <w:sz w:val="22"/>
          <w:szCs w:val="22"/>
        </w:rPr>
        <w:t xml:space="preserve">Refunds to customers discontinuing services </w:t>
      </w:r>
      <w:r w:rsidR="00194C70">
        <w:rPr>
          <w:rFonts w:ascii="Calibri" w:hAnsi="Calibri"/>
          <w:sz w:val="22"/>
          <w:szCs w:val="22"/>
        </w:rPr>
        <w:t xml:space="preserve">are made </w:t>
      </w:r>
      <w:r w:rsidRPr="00F46291">
        <w:rPr>
          <w:rFonts w:ascii="Calibri" w:hAnsi="Calibri"/>
          <w:sz w:val="22"/>
          <w:szCs w:val="22"/>
        </w:rPr>
        <w:t xml:space="preserve">out of these deposits </w:t>
      </w:r>
      <w:r w:rsidR="00194C70">
        <w:rPr>
          <w:rFonts w:ascii="Calibri" w:hAnsi="Calibri"/>
          <w:sz w:val="22"/>
          <w:szCs w:val="22"/>
        </w:rPr>
        <w:t xml:space="preserve">and </w:t>
      </w:r>
      <w:r w:rsidRPr="00F46291">
        <w:rPr>
          <w:rFonts w:ascii="Calibri" w:hAnsi="Calibri"/>
          <w:sz w:val="22"/>
          <w:szCs w:val="22"/>
        </w:rPr>
        <w:t>requires reducing the liability and the restricted cash.  If the deposit is used to pay the final bill of a discontinuing customer, the liability would be decreased as well as the custome</w:t>
      </w:r>
      <w:r w:rsidR="00194C70">
        <w:rPr>
          <w:rFonts w:ascii="Calibri" w:hAnsi="Calibri"/>
          <w:sz w:val="22"/>
          <w:szCs w:val="22"/>
        </w:rPr>
        <w:t>r receivable. Additionally, the amounts are reclassed</w:t>
      </w:r>
      <w:r w:rsidRPr="00F46291">
        <w:rPr>
          <w:rFonts w:ascii="Calibri" w:hAnsi="Calibri"/>
          <w:sz w:val="22"/>
          <w:szCs w:val="22"/>
        </w:rPr>
        <w:t xml:space="preserve"> from </w:t>
      </w:r>
      <w:r w:rsidR="00C7260A" w:rsidRPr="00F46291">
        <w:rPr>
          <w:rFonts w:ascii="Calibri" w:hAnsi="Calibri"/>
          <w:sz w:val="22"/>
          <w:szCs w:val="22"/>
        </w:rPr>
        <w:t>cash for restricted customer deposits</w:t>
      </w:r>
      <w:r w:rsidRPr="00F46291">
        <w:rPr>
          <w:rFonts w:ascii="Calibri" w:hAnsi="Calibri"/>
          <w:sz w:val="22"/>
          <w:szCs w:val="22"/>
        </w:rPr>
        <w:t xml:space="preserve"> to cash. </w:t>
      </w:r>
    </w:p>
    <w:p w14:paraId="7CAC3845" w14:textId="6C420988" w:rsidR="004F4C14" w:rsidRDefault="004F4C14" w:rsidP="00EC0271">
      <w:pPr>
        <w:widowControl w:val="0"/>
        <w:autoSpaceDE w:val="0"/>
        <w:autoSpaceDN w:val="0"/>
        <w:adjustRightInd w:val="0"/>
        <w:ind w:left="360"/>
        <w:jc w:val="both"/>
        <w:rPr>
          <w:rFonts w:ascii="Calibri" w:hAnsi="Calibri"/>
          <w:sz w:val="22"/>
          <w:szCs w:val="22"/>
        </w:rPr>
      </w:pPr>
    </w:p>
    <w:p w14:paraId="3C749D18" w14:textId="7EA36ACF" w:rsidR="00455225" w:rsidRPr="00AA28AE" w:rsidRDefault="00455225" w:rsidP="00EC0271">
      <w:pPr>
        <w:widowControl w:val="0"/>
        <w:autoSpaceDE w:val="0"/>
        <w:autoSpaceDN w:val="0"/>
        <w:adjustRightInd w:val="0"/>
        <w:ind w:left="360"/>
        <w:jc w:val="both"/>
        <w:rPr>
          <w:rFonts w:ascii="Calibri" w:hAnsi="Calibri"/>
          <w:b/>
          <w:sz w:val="22"/>
          <w:szCs w:val="22"/>
        </w:rPr>
      </w:pPr>
      <w:r w:rsidRPr="00AA28AE">
        <w:rPr>
          <w:rFonts w:ascii="Calibri" w:hAnsi="Calibri"/>
          <w:b/>
          <w:sz w:val="22"/>
          <w:szCs w:val="22"/>
        </w:rPr>
        <w:t xml:space="preserve">Note: No transactions will be recorded in the Govt Wide general journal. </w:t>
      </w:r>
    </w:p>
    <w:p w14:paraId="3B279535" w14:textId="5B5532AE" w:rsidR="007B3D13" w:rsidRPr="00F46291" w:rsidRDefault="002219AF" w:rsidP="00EC0271">
      <w:pPr>
        <w:pStyle w:val="Heading4"/>
        <w:jc w:val="both"/>
        <w:rPr>
          <w:rFonts w:ascii="Calibri" w:hAnsi="Calibri"/>
          <w:sz w:val="22"/>
          <w:szCs w:val="22"/>
        </w:rPr>
      </w:pPr>
      <w:r w:rsidRPr="00F46291">
        <w:rPr>
          <w:rFonts w:ascii="Calibri" w:hAnsi="Calibri"/>
          <w:sz w:val="22"/>
          <w:szCs w:val="22"/>
        </w:rPr>
        <w:br w:type="page"/>
      </w:r>
      <w:r w:rsidR="007B3D13" w:rsidRPr="00F46291">
        <w:rPr>
          <w:rFonts w:ascii="Calibri" w:hAnsi="Calibri"/>
          <w:sz w:val="22"/>
          <w:szCs w:val="22"/>
        </w:rPr>
        <w:lastRenderedPageBreak/>
        <w:t>Required</w:t>
      </w:r>
    </w:p>
    <w:p w14:paraId="7893F66E" w14:textId="77777777" w:rsidR="007B3D13" w:rsidRPr="00F46291" w:rsidRDefault="007B3D13"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color w:val="000000"/>
          <w:sz w:val="22"/>
          <w:szCs w:val="22"/>
        </w:rPr>
      </w:pPr>
    </w:p>
    <w:p w14:paraId="55B8D62A" w14:textId="401B66C3" w:rsidR="002219AF" w:rsidRPr="005420B2" w:rsidRDefault="005420B2" w:rsidP="005420B2">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color w:val="000000"/>
          <w:sz w:val="22"/>
          <w:szCs w:val="22"/>
        </w:rPr>
      </w:pPr>
      <w:r>
        <w:rPr>
          <w:rFonts w:ascii="Calibri" w:hAnsi="Calibri"/>
          <w:color w:val="000000"/>
          <w:sz w:val="22"/>
          <w:szCs w:val="22"/>
        </w:rPr>
        <w:t xml:space="preserve">Record the beginning balances.  </w:t>
      </w:r>
      <w:r w:rsidR="00961CA2" w:rsidRPr="005420B2">
        <w:rPr>
          <w:rFonts w:ascii="Calibri" w:hAnsi="Calibri"/>
          <w:color w:val="000000"/>
          <w:sz w:val="22"/>
          <w:szCs w:val="22"/>
        </w:rPr>
        <w:t>Open a general journal as of December 31, 2016</w:t>
      </w:r>
      <w:r w:rsidR="007B3D13" w:rsidRPr="005420B2">
        <w:rPr>
          <w:rFonts w:ascii="Calibri" w:hAnsi="Calibri"/>
          <w:color w:val="000000"/>
          <w:sz w:val="22"/>
          <w:szCs w:val="22"/>
        </w:rPr>
        <w:t xml:space="preserve"> for the Water Utility Fund</w:t>
      </w:r>
      <w:r w:rsidR="00961CA2" w:rsidRPr="005420B2">
        <w:rPr>
          <w:rFonts w:ascii="Calibri" w:hAnsi="Calibri"/>
          <w:color w:val="000000"/>
          <w:sz w:val="22"/>
          <w:szCs w:val="22"/>
        </w:rPr>
        <w:t xml:space="preserve"> by entering each of the accounts and amounts shown in the above post-closing trial balance.  Enter </w:t>
      </w:r>
      <w:r w:rsidR="00961CA2" w:rsidRPr="005420B2">
        <w:rPr>
          <w:rFonts w:ascii="Calibri" w:hAnsi="Calibri"/>
          <w:b/>
          <w:color w:val="000000"/>
          <w:sz w:val="22"/>
          <w:szCs w:val="22"/>
        </w:rPr>
        <w:t>2016</w:t>
      </w:r>
      <w:r w:rsidR="00961CA2" w:rsidRPr="005420B2">
        <w:rPr>
          <w:rFonts w:ascii="Calibri" w:hAnsi="Calibri"/>
          <w:color w:val="000000"/>
          <w:sz w:val="22"/>
          <w:szCs w:val="22"/>
        </w:rPr>
        <w:t xml:space="preserve"> </w:t>
      </w:r>
      <w:r w:rsidR="00692041" w:rsidRPr="005420B2">
        <w:rPr>
          <w:rFonts w:ascii="Calibri" w:hAnsi="Calibri"/>
          <w:color w:val="000000"/>
          <w:sz w:val="22"/>
          <w:szCs w:val="22"/>
        </w:rPr>
        <w:t>and use</w:t>
      </w:r>
      <w:r w:rsidR="00961CA2" w:rsidRPr="005420B2">
        <w:rPr>
          <w:rFonts w:ascii="Calibri" w:hAnsi="Calibri"/>
          <w:color w:val="000000"/>
          <w:sz w:val="22"/>
          <w:szCs w:val="22"/>
        </w:rPr>
        <w:t xml:space="preserve"> </w:t>
      </w:r>
      <w:r w:rsidR="002219AF" w:rsidRPr="005420B2">
        <w:rPr>
          <w:rFonts w:ascii="Calibri" w:hAnsi="Calibri"/>
          <w:b/>
          <w:color w:val="000000"/>
          <w:sz w:val="22"/>
          <w:szCs w:val="22"/>
        </w:rPr>
        <w:t>Beginning Bal</w:t>
      </w:r>
      <w:r w:rsidR="00692041" w:rsidRPr="005420B2">
        <w:rPr>
          <w:rFonts w:ascii="Calibri" w:hAnsi="Calibri"/>
          <w:b/>
          <w:color w:val="000000"/>
          <w:sz w:val="22"/>
          <w:szCs w:val="22"/>
        </w:rPr>
        <w:t>ance</w:t>
      </w:r>
      <w:r w:rsidR="00961CA2" w:rsidRPr="005420B2">
        <w:rPr>
          <w:rFonts w:ascii="Calibri" w:hAnsi="Calibri"/>
          <w:color w:val="000000"/>
          <w:sz w:val="22"/>
          <w:szCs w:val="22"/>
        </w:rPr>
        <w:t xml:space="preserve"> </w:t>
      </w:r>
      <w:r w:rsidR="00C7260A" w:rsidRPr="005420B2">
        <w:rPr>
          <w:rFonts w:ascii="Calibri" w:hAnsi="Calibri"/>
          <w:color w:val="000000"/>
          <w:sz w:val="22"/>
          <w:szCs w:val="22"/>
        </w:rPr>
        <w:t xml:space="preserve">as the </w:t>
      </w:r>
      <w:r w:rsidR="00961CA2" w:rsidRPr="005420B2">
        <w:rPr>
          <w:rFonts w:ascii="Calibri" w:hAnsi="Calibri"/>
          <w:b/>
          <w:color w:val="000000"/>
          <w:sz w:val="22"/>
          <w:szCs w:val="22"/>
        </w:rPr>
        <w:t>[Transaction Description]</w:t>
      </w:r>
      <w:r w:rsidR="00961CA2" w:rsidRPr="005420B2">
        <w:rPr>
          <w:rFonts w:ascii="Calibri" w:hAnsi="Calibri"/>
          <w:color w:val="000000"/>
          <w:sz w:val="22"/>
          <w:szCs w:val="22"/>
        </w:rPr>
        <w:t xml:space="preserve"> and enter the appropriate paragraph number for all subsequent journal entries.  Verify the accuracy of your journal entry and post it to the general ledger by clicking </w:t>
      </w:r>
      <w:r w:rsidR="00961CA2" w:rsidRPr="005420B2">
        <w:rPr>
          <w:rFonts w:ascii="Calibri" w:hAnsi="Calibri"/>
          <w:b/>
          <w:color w:val="000000"/>
          <w:sz w:val="22"/>
          <w:szCs w:val="22"/>
        </w:rPr>
        <w:t>[Post Entries].</w:t>
      </w:r>
      <w:r w:rsidR="00961CA2" w:rsidRPr="005420B2">
        <w:rPr>
          <w:rFonts w:ascii="Calibri" w:hAnsi="Calibri"/>
          <w:color w:val="000000"/>
          <w:sz w:val="22"/>
          <w:szCs w:val="22"/>
        </w:rPr>
        <w:t xml:space="preserve">  </w:t>
      </w:r>
    </w:p>
    <w:p w14:paraId="4ED6E3F2" w14:textId="251B4915" w:rsidR="002219AF" w:rsidRPr="00F46291" w:rsidRDefault="002219AF" w:rsidP="002219AF">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color w:val="000000"/>
          <w:sz w:val="22"/>
          <w:szCs w:val="22"/>
        </w:rPr>
      </w:pPr>
      <w:r w:rsidRPr="00F46291">
        <w:rPr>
          <w:rFonts w:ascii="Calibri" w:hAnsi="Calibri"/>
          <w:color w:val="000000"/>
          <w:sz w:val="22"/>
          <w:szCs w:val="22"/>
        </w:rPr>
        <w:tab/>
      </w:r>
    </w:p>
    <w:p w14:paraId="406ED40D" w14:textId="02F8D492" w:rsidR="007B3D13" w:rsidRPr="00F46291" w:rsidRDefault="00961CA2"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jc w:val="both"/>
        <w:rPr>
          <w:rFonts w:ascii="Calibri" w:hAnsi="Calibri"/>
          <w:color w:val="000000"/>
          <w:sz w:val="22"/>
          <w:szCs w:val="22"/>
        </w:rPr>
      </w:pPr>
      <w:r w:rsidRPr="00F46291">
        <w:rPr>
          <w:rFonts w:ascii="Calibri" w:hAnsi="Calibri"/>
          <w:color w:val="000000"/>
          <w:sz w:val="22"/>
          <w:szCs w:val="22"/>
        </w:rPr>
        <w:t>E</w:t>
      </w:r>
      <w:r w:rsidR="007B3D13" w:rsidRPr="00F46291">
        <w:rPr>
          <w:rFonts w:ascii="Calibri" w:hAnsi="Calibri"/>
          <w:color w:val="000000"/>
          <w:sz w:val="22"/>
          <w:szCs w:val="22"/>
        </w:rPr>
        <w:t>ntries in this enterprise fund do not have to be recorded at the government-wide level since enterprise funds and business-type activities at the government-wide level both use the same (accrual) basis of accounting and same (economic resources) measurement focus.  Thus, the same information recorded in the accounts of the enterprise fund can also, with only slight modification, be reported as business-type activities at the government-wide level.</w:t>
      </w:r>
    </w:p>
    <w:p w14:paraId="1EFF8FD3" w14:textId="58204F18" w:rsidR="00331439" w:rsidRPr="00F46291" w:rsidRDefault="00331439"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jc w:val="both"/>
        <w:rPr>
          <w:rFonts w:ascii="Calibri" w:hAnsi="Calibri"/>
          <w:color w:val="000000"/>
          <w:sz w:val="22"/>
          <w:szCs w:val="22"/>
        </w:rPr>
      </w:pPr>
    </w:p>
    <w:p w14:paraId="6A873404" w14:textId="48B77072" w:rsidR="00331439" w:rsidRPr="00AA28AE" w:rsidRDefault="00AA28AE"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jc w:val="both"/>
        <w:rPr>
          <w:rFonts w:ascii="Calibri" w:hAnsi="Calibri"/>
          <w:b/>
          <w:color w:val="000000"/>
          <w:sz w:val="22"/>
          <w:szCs w:val="22"/>
        </w:rPr>
      </w:pPr>
      <w:r>
        <w:rPr>
          <w:rFonts w:ascii="Calibri" w:hAnsi="Calibri"/>
          <w:b/>
          <w:color w:val="000000"/>
          <w:sz w:val="22"/>
          <w:szCs w:val="22"/>
        </w:rPr>
        <w:t>Note:</w:t>
      </w:r>
      <w:r w:rsidR="00331439" w:rsidRPr="00AA28AE">
        <w:rPr>
          <w:rFonts w:ascii="Calibri" w:hAnsi="Calibri"/>
          <w:b/>
          <w:color w:val="000000"/>
          <w:sz w:val="22"/>
          <w:szCs w:val="22"/>
        </w:rPr>
        <w:t xml:space="preserve"> GASB does not require a budget for an enterprise fund. </w:t>
      </w:r>
    </w:p>
    <w:p w14:paraId="76C9CF36" w14:textId="77777777" w:rsidR="00BB62EF" w:rsidRPr="00F46291" w:rsidRDefault="00BB62EF"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jc w:val="both"/>
        <w:rPr>
          <w:rFonts w:ascii="Calibri" w:hAnsi="Calibri"/>
          <w:color w:val="000000"/>
          <w:sz w:val="22"/>
          <w:szCs w:val="22"/>
        </w:rPr>
      </w:pPr>
    </w:p>
    <w:p w14:paraId="43C02BE8" w14:textId="77777777" w:rsidR="007B3D13" w:rsidRPr="00F46291" w:rsidRDefault="007B3D13"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color w:val="000000"/>
          <w:sz w:val="22"/>
          <w:szCs w:val="22"/>
        </w:rPr>
      </w:pPr>
    </w:p>
    <w:p w14:paraId="3E612AC3" w14:textId="4CE02976" w:rsidR="007B3D13" w:rsidRPr="00F46291" w:rsidRDefault="00331439"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hanging="360"/>
        <w:jc w:val="both"/>
        <w:rPr>
          <w:rFonts w:ascii="Calibri" w:hAnsi="Calibri"/>
          <w:color w:val="000000"/>
          <w:sz w:val="22"/>
          <w:szCs w:val="22"/>
        </w:rPr>
      </w:pPr>
      <w:r w:rsidRPr="00F46291">
        <w:rPr>
          <w:rFonts w:ascii="Calibri" w:hAnsi="Calibri"/>
          <w:b/>
          <w:color w:val="000000"/>
          <w:sz w:val="22"/>
          <w:szCs w:val="22"/>
        </w:rPr>
        <w:t xml:space="preserve">b. </w:t>
      </w:r>
      <w:r w:rsidR="007B3D13" w:rsidRPr="00F46291">
        <w:rPr>
          <w:rFonts w:ascii="Calibri" w:hAnsi="Calibri"/>
          <w:color w:val="000000"/>
          <w:sz w:val="22"/>
          <w:szCs w:val="22"/>
        </w:rPr>
        <w:t>Record the following events and transactions, which occurred during the year ended December 31, 20</w:t>
      </w:r>
      <w:r w:rsidR="00BB62EF" w:rsidRPr="00F46291">
        <w:rPr>
          <w:rFonts w:ascii="Calibri" w:hAnsi="Calibri"/>
          <w:color w:val="000000"/>
          <w:sz w:val="22"/>
          <w:szCs w:val="22"/>
        </w:rPr>
        <w:t>17</w:t>
      </w:r>
      <w:r w:rsidR="007B3D13" w:rsidRPr="00F46291">
        <w:rPr>
          <w:rFonts w:ascii="Calibri" w:hAnsi="Calibri"/>
          <w:color w:val="000000"/>
          <w:sz w:val="22"/>
          <w:szCs w:val="22"/>
        </w:rPr>
        <w:t xml:space="preserve">.  </w:t>
      </w:r>
      <w:r w:rsidR="00D549B5">
        <w:rPr>
          <w:rFonts w:ascii="Calibri" w:hAnsi="Calibri"/>
          <w:color w:val="000000"/>
          <w:sz w:val="22"/>
          <w:szCs w:val="22"/>
        </w:rPr>
        <w:t xml:space="preserve">Be sure to </w:t>
      </w:r>
      <w:r w:rsidR="007402A8">
        <w:rPr>
          <w:rFonts w:ascii="Calibri" w:hAnsi="Calibri"/>
          <w:color w:val="000000"/>
          <w:sz w:val="22"/>
          <w:szCs w:val="22"/>
        </w:rPr>
        <w:t xml:space="preserve">record as </w:t>
      </w:r>
      <w:r w:rsidR="00BB62EF" w:rsidRPr="00F46291">
        <w:rPr>
          <w:rFonts w:ascii="Calibri" w:hAnsi="Calibri"/>
          <w:b/>
          <w:color w:val="000000"/>
          <w:sz w:val="22"/>
          <w:szCs w:val="22"/>
        </w:rPr>
        <w:t>2017</w:t>
      </w:r>
      <w:r w:rsidR="00BB62EF" w:rsidRPr="00F46291">
        <w:rPr>
          <w:rFonts w:ascii="Calibri" w:hAnsi="Calibri"/>
          <w:color w:val="000000"/>
          <w:sz w:val="22"/>
          <w:szCs w:val="22"/>
        </w:rPr>
        <w:t>.</w:t>
      </w:r>
    </w:p>
    <w:p w14:paraId="30B25F9F" w14:textId="77777777" w:rsidR="007B3D13" w:rsidRPr="00F46291" w:rsidRDefault="007B3D13" w:rsidP="00EC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color w:val="000000"/>
          <w:sz w:val="22"/>
          <w:szCs w:val="22"/>
        </w:rPr>
      </w:pPr>
    </w:p>
    <w:p w14:paraId="460B1600" w14:textId="148CF1B9" w:rsidR="007B3D13" w:rsidRPr="00F46291"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1. </w:t>
      </w:r>
      <w:r w:rsidRPr="00F46291">
        <w:rPr>
          <w:rFonts w:ascii="Calibri" w:hAnsi="Calibri"/>
          <w:b/>
          <w:sz w:val="22"/>
          <w:szCs w:val="22"/>
        </w:rPr>
        <w:t>[Para. 7-b-1]</w:t>
      </w:r>
      <w:r w:rsidRPr="00F46291">
        <w:rPr>
          <w:rFonts w:ascii="Calibri" w:hAnsi="Calibri"/>
          <w:sz w:val="22"/>
          <w:szCs w:val="22"/>
        </w:rPr>
        <w:t xml:space="preserve"> Bond</w:t>
      </w:r>
      <w:r w:rsidR="00BB62EF" w:rsidRPr="00F46291">
        <w:rPr>
          <w:rFonts w:ascii="Calibri" w:hAnsi="Calibri"/>
          <w:sz w:val="22"/>
          <w:szCs w:val="22"/>
        </w:rPr>
        <w:t xml:space="preserve"> interest due on January 1, 2017</w:t>
      </w:r>
      <w:r w:rsidR="00313799" w:rsidRPr="00F46291">
        <w:rPr>
          <w:rFonts w:ascii="Calibri" w:hAnsi="Calibri"/>
          <w:sz w:val="22"/>
          <w:szCs w:val="22"/>
        </w:rPr>
        <w:t xml:space="preserve"> was paid to holders of the </w:t>
      </w:r>
      <w:r w:rsidRPr="00F46291">
        <w:rPr>
          <w:rFonts w:ascii="Calibri" w:hAnsi="Calibri"/>
          <w:sz w:val="22"/>
          <w:szCs w:val="22"/>
        </w:rPr>
        <w:t>revenue bonds.</w:t>
      </w:r>
    </w:p>
    <w:p w14:paraId="7E21FDBA" w14:textId="02AC871A" w:rsidR="00331439" w:rsidRPr="00F46291" w:rsidRDefault="00331439"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ab/>
      </w:r>
    </w:p>
    <w:p w14:paraId="2FC79F0D" w14:textId="2BD76E02" w:rsidR="00331439" w:rsidRPr="00F46291" w:rsidRDefault="00331439"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ab/>
        <w:t xml:space="preserve">This transaction affects cash </w:t>
      </w:r>
      <w:r w:rsidR="00E520EF" w:rsidRPr="00F46291">
        <w:rPr>
          <w:rFonts w:ascii="Calibri" w:hAnsi="Calibri"/>
          <w:sz w:val="22"/>
          <w:szCs w:val="22"/>
        </w:rPr>
        <w:t>as well as Accrued Interest Payable for six months’ accrual of interest on 6% revenue bonds payable.</w:t>
      </w:r>
      <w:r w:rsidR="00455225">
        <w:rPr>
          <w:rFonts w:ascii="Calibri" w:hAnsi="Calibri"/>
          <w:sz w:val="22"/>
          <w:szCs w:val="22"/>
        </w:rPr>
        <w:t xml:space="preserve"> Refer to the beginning balance for the amount.</w:t>
      </w:r>
    </w:p>
    <w:p w14:paraId="2B921D87" w14:textId="77777777" w:rsidR="00455225" w:rsidRDefault="00455225" w:rsidP="00EC0271">
      <w:pPr>
        <w:widowControl w:val="0"/>
        <w:autoSpaceDE w:val="0"/>
        <w:autoSpaceDN w:val="0"/>
        <w:adjustRightInd w:val="0"/>
        <w:ind w:left="630" w:hanging="270"/>
        <w:jc w:val="both"/>
        <w:rPr>
          <w:noProof/>
          <w:lang w:eastAsia="en-US"/>
        </w:rPr>
      </w:pPr>
    </w:p>
    <w:p w14:paraId="3257E387" w14:textId="445BB568" w:rsidR="007B3D1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6C097A21" wp14:editId="344E8BF3">
            <wp:extent cx="5486400" cy="2851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5115"/>
                    </a:xfrm>
                    <a:prstGeom prst="rect">
                      <a:avLst/>
                    </a:prstGeom>
                    <a:noFill/>
                    <a:ln>
                      <a:noFill/>
                    </a:ln>
                  </pic:spPr>
                </pic:pic>
              </a:graphicData>
            </a:graphic>
          </wp:inline>
        </w:drawing>
      </w:r>
    </w:p>
    <w:p w14:paraId="59D55090" w14:textId="77777777" w:rsidR="00455225" w:rsidRPr="00F46291" w:rsidRDefault="00455225" w:rsidP="00EC0271">
      <w:pPr>
        <w:widowControl w:val="0"/>
        <w:autoSpaceDE w:val="0"/>
        <w:autoSpaceDN w:val="0"/>
        <w:adjustRightInd w:val="0"/>
        <w:ind w:left="630" w:hanging="270"/>
        <w:jc w:val="both"/>
        <w:rPr>
          <w:rFonts w:ascii="Calibri" w:hAnsi="Calibri"/>
          <w:sz w:val="22"/>
          <w:szCs w:val="22"/>
        </w:rPr>
      </w:pPr>
    </w:p>
    <w:p w14:paraId="70C0909A" w14:textId="3680D7C5" w:rsidR="007B3D13" w:rsidRPr="00F46291"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2. </w:t>
      </w:r>
      <w:r w:rsidRPr="00F46291">
        <w:rPr>
          <w:rFonts w:ascii="Calibri" w:hAnsi="Calibri"/>
          <w:b/>
          <w:sz w:val="22"/>
          <w:szCs w:val="22"/>
        </w:rPr>
        <w:t>[Para. 7-b-2]</w:t>
      </w:r>
      <w:r w:rsidRPr="00F46291">
        <w:rPr>
          <w:rFonts w:ascii="Calibri" w:hAnsi="Calibri"/>
          <w:sz w:val="22"/>
          <w:szCs w:val="22"/>
        </w:rPr>
        <w:t xml:space="preserve"> Billings to customers for water se</w:t>
      </w:r>
      <w:r w:rsidR="00BB62EF" w:rsidRPr="00F46291">
        <w:rPr>
          <w:rFonts w:ascii="Calibri" w:hAnsi="Calibri"/>
          <w:sz w:val="22"/>
          <w:szCs w:val="22"/>
        </w:rPr>
        <w:t>rvice for the year totaled $3,076,5</w:t>
      </w:r>
      <w:r w:rsidRPr="00F46291">
        <w:rPr>
          <w:rFonts w:ascii="Calibri" w:hAnsi="Calibri"/>
          <w:sz w:val="22"/>
          <w:szCs w:val="22"/>
        </w:rPr>
        <w:t xml:space="preserve">00. Billings to the City of Bingham General Fund </w:t>
      </w:r>
      <w:r w:rsidR="006B55E3" w:rsidRPr="00F46291">
        <w:rPr>
          <w:rFonts w:ascii="Calibri" w:hAnsi="Calibri"/>
          <w:sz w:val="22"/>
          <w:szCs w:val="22"/>
        </w:rPr>
        <w:t>for water service totaled $50</w:t>
      </w:r>
      <w:r w:rsidRPr="00F46291">
        <w:rPr>
          <w:rFonts w:ascii="Calibri" w:hAnsi="Calibri"/>
          <w:sz w:val="22"/>
          <w:szCs w:val="22"/>
        </w:rPr>
        <w:t>,000.</w:t>
      </w:r>
    </w:p>
    <w:p w14:paraId="07E282A7" w14:textId="77A48B84" w:rsidR="006A06BE" w:rsidRPr="00F46291" w:rsidRDefault="006A06BE" w:rsidP="00EC0271">
      <w:pPr>
        <w:widowControl w:val="0"/>
        <w:autoSpaceDE w:val="0"/>
        <w:autoSpaceDN w:val="0"/>
        <w:adjustRightInd w:val="0"/>
        <w:ind w:left="630" w:hanging="270"/>
        <w:jc w:val="both"/>
        <w:rPr>
          <w:rFonts w:ascii="Calibri" w:hAnsi="Calibri"/>
          <w:sz w:val="22"/>
          <w:szCs w:val="22"/>
        </w:rPr>
      </w:pPr>
    </w:p>
    <w:p w14:paraId="7E893458" w14:textId="4FC7C89C" w:rsidR="006A06BE" w:rsidRDefault="006A06BE"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ab/>
        <w:t xml:space="preserve">The customer billings are receivables. Due from Other Funds represents the inter-governmental portion of this transaction.  This is an enterprise fund with sales. </w:t>
      </w:r>
    </w:p>
    <w:p w14:paraId="3E67F46B" w14:textId="7D779098" w:rsidR="00455225" w:rsidRDefault="00455225" w:rsidP="00EC0271">
      <w:pPr>
        <w:widowControl w:val="0"/>
        <w:autoSpaceDE w:val="0"/>
        <w:autoSpaceDN w:val="0"/>
        <w:adjustRightInd w:val="0"/>
        <w:ind w:left="630" w:hanging="270"/>
        <w:jc w:val="both"/>
        <w:rPr>
          <w:rFonts w:ascii="Calibri" w:hAnsi="Calibri"/>
          <w:sz w:val="22"/>
          <w:szCs w:val="22"/>
        </w:rPr>
      </w:pPr>
    </w:p>
    <w:p w14:paraId="6EF309EE" w14:textId="5319DBAE" w:rsidR="00455225" w:rsidRPr="00F46291" w:rsidRDefault="00686D87" w:rsidP="00EC0271">
      <w:pPr>
        <w:widowControl w:val="0"/>
        <w:autoSpaceDE w:val="0"/>
        <w:autoSpaceDN w:val="0"/>
        <w:adjustRightInd w:val="0"/>
        <w:ind w:left="630" w:hanging="270"/>
        <w:jc w:val="both"/>
        <w:rPr>
          <w:rFonts w:ascii="Calibri" w:hAnsi="Calibri"/>
          <w:sz w:val="22"/>
          <w:szCs w:val="22"/>
        </w:rPr>
      </w:pPr>
      <w:r w:rsidRPr="008D7B56">
        <w:rPr>
          <w:noProof/>
          <w:lang w:eastAsia="en-US"/>
        </w:rPr>
        <w:drawing>
          <wp:inline distT="0" distB="0" distL="0" distR="0" wp14:anchorId="4A81DA95" wp14:editId="535A87D5">
            <wp:extent cx="5486400" cy="4241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4180"/>
                    </a:xfrm>
                    <a:prstGeom prst="rect">
                      <a:avLst/>
                    </a:prstGeom>
                    <a:noFill/>
                    <a:ln>
                      <a:noFill/>
                    </a:ln>
                  </pic:spPr>
                </pic:pic>
              </a:graphicData>
            </a:graphic>
          </wp:inline>
        </w:drawing>
      </w:r>
    </w:p>
    <w:p w14:paraId="267846A1"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2A4923A9" w14:textId="0C7BA430" w:rsidR="007B3D13" w:rsidRDefault="007B3D13" w:rsidP="00455225">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3.</w:t>
      </w:r>
      <w:r w:rsidRPr="00F46291">
        <w:rPr>
          <w:rFonts w:ascii="Calibri" w:hAnsi="Calibri"/>
          <w:sz w:val="22"/>
          <w:szCs w:val="22"/>
        </w:rPr>
        <w:tab/>
      </w:r>
      <w:r w:rsidRPr="00F46291">
        <w:rPr>
          <w:rFonts w:ascii="Calibri" w:hAnsi="Calibri"/>
          <w:b/>
          <w:sz w:val="22"/>
          <w:szCs w:val="22"/>
        </w:rPr>
        <w:t>[Para. 7-b-3]</w:t>
      </w:r>
      <w:r w:rsidRPr="00F46291">
        <w:rPr>
          <w:rFonts w:ascii="Calibri" w:hAnsi="Calibri"/>
          <w:sz w:val="22"/>
          <w:szCs w:val="22"/>
        </w:rPr>
        <w:t xml:space="preserve"> Collecti</w:t>
      </w:r>
      <w:r w:rsidR="00BB62EF" w:rsidRPr="00F46291">
        <w:rPr>
          <w:rFonts w:ascii="Calibri" w:hAnsi="Calibri"/>
          <w:sz w:val="22"/>
          <w:szCs w:val="22"/>
        </w:rPr>
        <w:t>ons from c</w:t>
      </w:r>
      <w:r w:rsidR="006B55E3" w:rsidRPr="00F46291">
        <w:rPr>
          <w:rFonts w:ascii="Calibri" w:hAnsi="Calibri"/>
          <w:sz w:val="22"/>
          <w:szCs w:val="22"/>
        </w:rPr>
        <w:t>ustomers totaled $2,996,100; $14,3</w:t>
      </w:r>
      <w:r w:rsidRPr="00F46291">
        <w:rPr>
          <w:rFonts w:ascii="Calibri" w:hAnsi="Calibri"/>
          <w:sz w:val="22"/>
          <w:szCs w:val="22"/>
        </w:rPr>
        <w:t>00 was also received from the city’s General Fund.</w:t>
      </w:r>
    </w:p>
    <w:p w14:paraId="1200E26A" w14:textId="77777777" w:rsidR="00455225" w:rsidRDefault="00455225" w:rsidP="006A06BE">
      <w:pPr>
        <w:widowControl w:val="0"/>
        <w:autoSpaceDE w:val="0"/>
        <w:autoSpaceDN w:val="0"/>
        <w:adjustRightInd w:val="0"/>
        <w:jc w:val="both"/>
        <w:rPr>
          <w:noProof/>
          <w:lang w:eastAsia="en-US"/>
        </w:rPr>
      </w:pPr>
    </w:p>
    <w:p w14:paraId="28F0C92C" w14:textId="350433C3" w:rsidR="00455225" w:rsidRPr="00F46291" w:rsidRDefault="00686D87" w:rsidP="006A06BE">
      <w:pPr>
        <w:widowControl w:val="0"/>
        <w:autoSpaceDE w:val="0"/>
        <w:autoSpaceDN w:val="0"/>
        <w:adjustRightInd w:val="0"/>
        <w:jc w:val="both"/>
        <w:rPr>
          <w:rFonts w:ascii="Calibri" w:hAnsi="Calibri"/>
          <w:sz w:val="22"/>
          <w:szCs w:val="22"/>
        </w:rPr>
      </w:pPr>
      <w:r w:rsidRPr="008D7B56">
        <w:rPr>
          <w:noProof/>
          <w:lang w:eastAsia="en-US"/>
        </w:rPr>
        <w:drawing>
          <wp:inline distT="0" distB="0" distL="0" distR="0" wp14:anchorId="3F2BB4C6" wp14:editId="1A8680B4">
            <wp:extent cx="5494020" cy="4387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020" cy="438785"/>
                    </a:xfrm>
                    <a:prstGeom prst="rect">
                      <a:avLst/>
                    </a:prstGeom>
                    <a:noFill/>
                    <a:ln>
                      <a:noFill/>
                    </a:ln>
                  </pic:spPr>
                </pic:pic>
              </a:graphicData>
            </a:graphic>
          </wp:inline>
        </w:drawing>
      </w:r>
    </w:p>
    <w:p w14:paraId="346DE932" w14:textId="3F118584" w:rsidR="00455225" w:rsidRDefault="00455225" w:rsidP="00EC0271">
      <w:pPr>
        <w:widowControl w:val="0"/>
        <w:autoSpaceDE w:val="0"/>
        <w:autoSpaceDN w:val="0"/>
        <w:adjustRightInd w:val="0"/>
        <w:ind w:left="630" w:hanging="270"/>
        <w:jc w:val="both"/>
        <w:rPr>
          <w:rFonts w:ascii="Calibri" w:hAnsi="Calibri"/>
          <w:sz w:val="22"/>
          <w:szCs w:val="22"/>
        </w:rPr>
      </w:pPr>
      <w:r>
        <w:rPr>
          <w:rFonts w:ascii="Calibri" w:hAnsi="Calibri"/>
          <w:sz w:val="22"/>
          <w:szCs w:val="22"/>
        </w:rPr>
        <w:br w:type="page"/>
      </w:r>
      <w:r w:rsidR="007B3D13" w:rsidRPr="00F46291">
        <w:rPr>
          <w:rFonts w:ascii="Calibri" w:hAnsi="Calibri"/>
          <w:sz w:val="22"/>
          <w:szCs w:val="22"/>
        </w:rPr>
        <w:lastRenderedPageBreak/>
        <w:t xml:space="preserve">4.  </w:t>
      </w:r>
      <w:r w:rsidR="007B3D13" w:rsidRPr="00F46291">
        <w:rPr>
          <w:rFonts w:ascii="Calibri" w:hAnsi="Calibri"/>
          <w:b/>
          <w:sz w:val="22"/>
          <w:szCs w:val="22"/>
        </w:rPr>
        <w:t>[Para. 7-b-4]</w:t>
      </w:r>
      <w:r w:rsidR="008F1B38" w:rsidRPr="00F46291">
        <w:rPr>
          <w:rFonts w:ascii="Calibri" w:hAnsi="Calibri"/>
          <w:b/>
          <w:sz w:val="22"/>
          <w:szCs w:val="22"/>
        </w:rPr>
        <w:t xml:space="preserve"> </w:t>
      </w:r>
      <w:r w:rsidR="008F1B38" w:rsidRPr="00F46291">
        <w:rPr>
          <w:rFonts w:ascii="Calibri" w:hAnsi="Calibri"/>
          <w:sz w:val="22"/>
          <w:szCs w:val="22"/>
        </w:rPr>
        <w:t>A</w:t>
      </w:r>
      <w:r w:rsidR="007B3D13" w:rsidRPr="00F46291">
        <w:rPr>
          <w:rFonts w:ascii="Calibri" w:hAnsi="Calibri"/>
          <w:sz w:val="22"/>
          <w:szCs w:val="22"/>
        </w:rPr>
        <w:t xml:space="preserve"> </w:t>
      </w:r>
      <w:r w:rsidR="00634DBC" w:rsidRPr="00F46291">
        <w:rPr>
          <w:rFonts w:ascii="Calibri" w:hAnsi="Calibri"/>
          <w:sz w:val="22"/>
          <w:szCs w:val="22"/>
        </w:rPr>
        <w:t>$6</w:t>
      </w:r>
      <w:r w:rsidR="008F1B38" w:rsidRPr="00F46291">
        <w:rPr>
          <w:rFonts w:ascii="Calibri" w:hAnsi="Calibri"/>
          <w:sz w:val="22"/>
          <w:szCs w:val="22"/>
        </w:rPr>
        <w:t xml:space="preserve">25,000 </w:t>
      </w:r>
      <w:r w:rsidR="007B3D13" w:rsidRPr="00F46291">
        <w:rPr>
          <w:rFonts w:ascii="Calibri" w:hAnsi="Calibri"/>
          <w:sz w:val="22"/>
          <w:szCs w:val="22"/>
        </w:rPr>
        <w:t>contract was signed</w:t>
      </w:r>
      <w:r w:rsidR="008F1B38" w:rsidRPr="00F46291">
        <w:rPr>
          <w:rFonts w:ascii="Calibri" w:hAnsi="Calibri"/>
          <w:sz w:val="22"/>
          <w:szCs w:val="22"/>
        </w:rPr>
        <w:t xml:space="preserve"> for a construction project expected to cost </w:t>
      </w:r>
    </w:p>
    <w:p w14:paraId="52E9DA58" w14:textId="36068D77" w:rsidR="007B3D13" w:rsidRPr="00F46291" w:rsidRDefault="008F1B38"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$970,000. W</w:t>
      </w:r>
      <w:r w:rsidR="007B3D13" w:rsidRPr="00F46291">
        <w:rPr>
          <w:rFonts w:ascii="Calibri" w:hAnsi="Calibri"/>
          <w:sz w:val="22"/>
          <w:szCs w:val="22"/>
        </w:rPr>
        <w:t>ater utility employees</w:t>
      </w:r>
      <w:r w:rsidR="00634DBC" w:rsidRPr="00F46291">
        <w:rPr>
          <w:rFonts w:ascii="Calibri" w:hAnsi="Calibri"/>
          <w:sz w:val="22"/>
          <w:szCs w:val="22"/>
        </w:rPr>
        <w:t xml:space="preserve"> will complete $3</w:t>
      </w:r>
      <w:r w:rsidRPr="00F46291">
        <w:rPr>
          <w:rFonts w:ascii="Calibri" w:hAnsi="Calibri"/>
          <w:sz w:val="22"/>
          <w:szCs w:val="22"/>
        </w:rPr>
        <w:t>45,000 of the project</w:t>
      </w:r>
      <w:r w:rsidR="007B3D13" w:rsidRPr="00F46291">
        <w:rPr>
          <w:rFonts w:ascii="Calibri" w:hAnsi="Calibri"/>
          <w:sz w:val="22"/>
          <w:szCs w:val="22"/>
        </w:rPr>
        <w:t>.</w:t>
      </w:r>
    </w:p>
    <w:p w14:paraId="5EF4F45E" w14:textId="757CD1D5" w:rsidR="006A06BE" w:rsidRPr="00F46291" w:rsidRDefault="006A06BE"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ab/>
      </w:r>
    </w:p>
    <w:p w14:paraId="508ADE6D" w14:textId="1F7FAFD6" w:rsidR="006A06BE" w:rsidRDefault="006A06BE"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ab/>
        <w:t>Note: An enterprise fund does not use encumbrance accounting. Will these facts give rise to an entry?</w:t>
      </w:r>
    </w:p>
    <w:p w14:paraId="00895A9F" w14:textId="303354AD" w:rsidR="00455225" w:rsidRDefault="00455225" w:rsidP="00EC0271">
      <w:pPr>
        <w:widowControl w:val="0"/>
        <w:autoSpaceDE w:val="0"/>
        <w:autoSpaceDN w:val="0"/>
        <w:adjustRightInd w:val="0"/>
        <w:ind w:left="630" w:hanging="270"/>
        <w:jc w:val="both"/>
        <w:rPr>
          <w:rFonts w:ascii="Calibri" w:hAnsi="Calibri"/>
          <w:sz w:val="22"/>
          <w:szCs w:val="22"/>
        </w:rPr>
      </w:pPr>
    </w:p>
    <w:p w14:paraId="356E726B" w14:textId="152A2128" w:rsidR="007B3D13"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5.</w:t>
      </w:r>
      <w:r w:rsidRPr="00F46291">
        <w:rPr>
          <w:rFonts w:ascii="Calibri" w:hAnsi="Calibri"/>
          <w:sz w:val="22"/>
          <w:szCs w:val="22"/>
        </w:rPr>
        <w:tab/>
      </w:r>
      <w:r w:rsidRPr="00F46291">
        <w:rPr>
          <w:rFonts w:ascii="Calibri" w:hAnsi="Calibri"/>
          <w:b/>
          <w:sz w:val="22"/>
          <w:szCs w:val="22"/>
        </w:rPr>
        <w:t>[Para. 7-b-5]</w:t>
      </w:r>
      <w:r w:rsidRPr="00F46291">
        <w:rPr>
          <w:rFonts w:ascii="Calibri" w:hAnsi="Calibri"/>
          <w:sz w:val="22"/>
          <w:szCs w:val="22"/>
        </w:rPr>
        <w:t xml:space="preserve"> Materials and supplies were ordered and received during the period in the amount of</w:t>
      </w:r>
      <w:r w:rsidR="00634DBC" w:rsidRPr="00F46291">
        <w:rPr>
          <w:rFonts w:ascii="Calibri" w:hAnsi="Calibri"/>
          <w:sz w:val="22"/>
          <w:szCs w:val="22"/>
        </w:rPr>
        <w:t xml:space="preserve"> $610,5</w:t>
      </w:r>
      <w:r w:rsidRPr="00F46291">
        <w:rPr>
          <w:rFonts w:ascii="Calibri" w:hAnsi="Calibri"/>
          <w:sz w:val="22"/>
          <w:szCs w:val="22"/>
        </w:rPr>
        <w:t>00. The invoices agreed with the purchase orders and receiving reports and were recorded as vouchers payable.  A perpetual inventory system is used</w:t>
      </w:r>
      <w:r w:rsidR="00C7260A" w:rsidRPr="00F46291">
        <w:rPr>
          <w:rFonts w:ascii="Calibri" w:hAnsi="Calibri"/>
          <w:sz w:val="22"/>
          <w:szCs w:val="22"/>
        </w:rPr>
        <w:t xml:space="preserve"> for all materials and supplies; and thus, the account, Inventory of Supplies, is affected by this transaction. </w:t>
      </w:r>
      <w:r w:rsidR="00C276BA">
        <w:rPr>
          <w:rFonts w:ascii="Calibri" w:hAnsi="Calibri"/>
          <w:sz w:val="22"/>
          <w:szCs w:val="22"/>
        </w:rPr>
        <w:t>(Eventually, these supplies will be distributed/reclassed to various departments within the utility).</w:t>
      </w:r>
    </w:p>
    <w:p w14:paraId="48F79900" w14:textId="4A50B730" w:rsidR="00455225" w:rsidRDefault="00455225" w:rsidP="00EC0271">
      <w:pPr>
        <w:widowControl w:val="0"/>
        <w:autoSpaceDE w:val="0"/>
        <w:autoSpaceDN w:val="0"/>
        <w:adjustRightInd w:val="0"/>
        <w:ind w:left="630" w:hanging="270"/>
        <w:jc w:val="both"/>
        <w:rPr>
          <w:rFonts w:ascii="Calibri" w:hAnsi="Calibri"/>
          <w:sz w:val="22"/>
          <w:szCs w:val="22"/>
        </w:rPr>
      </w:pPr>
    </w:p>
    <w:p w14:paraId="15908202" w14:textId="5A1D19FF" w:rsidR="00455225" w:rsidRPr="00F46291" w:rsidRDefault="00686D87" w:rsidP="00EC0271">
      <w:pPr>
        <w:widowControl w:val="0"/>
        <w:autoSpaceDE w:val="0"/>
        <w:autoSpaceDN w:val="0"/>
        <w:adjustRightInd w:val="0"/>
        <w:ind w:left="630" w:hanging="270"/>
        <w:jc w:val="both"/>
        <w:rPr>
          <w:rFonts w:ascii="Calibri" w:hAnsi="Calibri"/>
          <w:sz w:val="22"/>
          <w:szCs w:val="22"/>
        </w:rPr>
      </w:pPr>
      <w:r w:rsidRPr="008D7B56">
        <w:rPr>
          <w:noProof/>
          <w:lang w:eastAsia="en-US"/>
        </w:rPr>
        <w:drawing>
          <wp:inline distT="0" distB="0" distL="0" distR="0" wp14:anchorId="7D8956E1" wp14:editId="5E897367">
            <wp:extent cx="5486400" cy="34353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3535"/>
                    </a:xfrm>
                    <a:prstGeom prst="rect">
                      <a:avLst/>
                    </a:prstGeom>
                    <a:noFill/>
                    <a:ln>
                      <a:noFill/>
                    </a:ln>
                  </pic:spPr>
                </pic:pic>
              </a:graphicData>
            </a:graphic>
          </wp:inline>
        </w:drawing>
      </w:r>
    </w:p>
    <w:p w14:paraId="69283614"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46AF9AD8" w14:textId="61BC9534" w:rsidR="007B3D13"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6. </w:t>
      </w:r>
      <w:r w:rsidRPr="00F46291">
        <w:rPr>
          <w:rFonts w:ascii="Calibri" w:hAnsi="Calibri"/>
          <w:b/>
          <w:sz w:val="22"/>
          <w:szCs w:val="22"/>
        </w:rPr>
        <w:t xml:space="preserve">[Para. 7-b-6] </w:t>
      </w:r>
      <w:r w:rsidRPr="00F46291">
        <w:rPr>
          <w:rFonts w:ascii="Calibri" w:hAnsi="Calibri"/>
          <w:sz w:val="22"/>
          <w:szCs w:val="22"/>
        </w:rPr>
        <w:t>Payrolls were paid totaling $</w:t>
      </w:r>
      <w:r w:rsidR="00634DBC" w:rsidRPr="00F46291">
        <w:rPr>
          <w:rFonts w:ascii="Calibri" w:hAnsi="Calibri"/>
          <w:sz w:val="22"/>
          <w:szCs w:val="22"/>
        </w:rPr>
        <w:t>685,25</w:t>
      </w:r>
      <w:r w:rsidRPr="00F46291">
        <w:rPr>
          <w:rFonts w:ascii="Calibri" w:hAnsi="Calibri"/>
          <w:sz w:val="22"/>
          <w:szCs w:val="22"/>
        </w:rPr>
        <w:t>0 for operations</w:t>
      </w:r>
      <w:r w:rsidR="00634DBC" w:rsidRPr="00F46291">
        <w:rPr>
          <w:rFonts w:ascii="Calibri" w:hAnsi="Calibri"/>
          <w:sz w:val="22"/>
          <w:szCs w:val="22"/>
        </w:rPr>
        <w:t>; $155</w:t>
      </w:r>
      <w:r w:rsidRPr="00F46291">
        <w:rPr>
          <w:rFonts w:ascii="Calibri" w:hAnsi="Calibri"/>
          <w:sz w:val="22"/>
          <w:szCs w:val="22"/>
        </w:rPr>
        <w:t>,400 for maintenance; and $</w:t>
      </w:r>
      <w:r w:rsidR="00634DBC" w:rsidRPr="00F46291">
        <w:rPr>
          <w:rFonts w:ascii="Calibri" w:hAnsi="Calibri"/>
          <w:sz w:val="22"/>
          <w:szCs w:val="22"/>
        </w:rPr>
        <w:t>1</w:t>
      </w:r>
      <w:r w:rsidRPr="00F46291">
        <w:rPr>
          <w:rFonts w:ascii="Calibri" w:hAnsi="Calibri"/>
          <w:sz w:val="22"/>
          <w:szCs w:val="22"/>
        </w:rPr>
        <w:t>70,500 for construction.</w:t>
      </w:r>
      <w:r w:rsidR="00314756" w:rsidRPr="00F46291">
        <w:rPr>
          <w:rFonts w:ascii="Calibri" w:hAnsi="Calibri"/>
          <w:sz w:val="22"/>
          <w:szCs w:val="22"/>
        </w:rPr>
        <w:t xml:space="preserve"> These are expenses for operations and maintenance. Construct</w:t>
      </w:r>
      <w:r w:rsidR="00455225">
        <w:rPr>
          <w:rFonts w:ascii="Calibri" w:hAnsi="Calibri"/>
          <w:sz w:val="22"/>
          <w:szCs w:val="22"/>
        </w:rPr>
        <w:t>ion costs would be recorded as c</w:t>
      </w:r>
      <w:r w:rsidR="00314756" w:rsidRPr="00F46291">
        <w:rPr>
          <w:rFonts w:ascii="Calibri" w:hAnsi="Calibri"/>
          <w:sz w:val="22"/>
          <w:szCs w:val="22"/>
        </w:rPr>
        <w:t>onstruction</w:t>
      </w:r>
      <w:r w:rsidR="00455225">
        <w:rPr>
          <w:rFonts w:ascii="Calibri" w:hAnsi="Calibri"/>
          <w:sz w:val="22"/>
          <w:szCs w:val="22"/>
        </w:rPr>
        <w:t xml:space="preserve"> work</w:t>
      </w:r>
      <w:r w:rsidR="00314756" w:rsidRPr="00F46291">
        <w:rPr>
          <w:rFonts w:ascii="Calibri" w:hAnsi="Calibri"/>
          <w:sz w:val="22"/>
          <w:szCs w:val="22"/>
        </w:rPr>
        <w:t xml:space="preserve"> in progress. </w:t>
      </w:r>
    </w:p>
    <w:p w14:paraId="5A64B3C8" w14:textId="77777777" w:rsidR="00455225" w:rsidRDefault="00455225" w:rsidP="00EC0271">
      <w:pPr>
        <w:widowControl w:val="0"/>
        <w:autoSpaceDE w:val="0"/>
        <w:autoSpaceDN w:val="0"/>
        <w:adjustRightInd w:val="0"/>
        <w:ind w:left="630" w:hanging="270"/>
        <w:jc w:val="both"/>
        <w:rPr>
          <w:rFonts w:ascii="Calibri" w:hAnsi="Calibri"/>
          <w:sz w:val="22"/>
          <w:szCs w:val="22"/>
        </w:rPr>
      </w:pPr>
    </w:p>
    <w:p w14:paraId="0E2E42E9" w14:textId="7084033E" w:rsidR="00455225" w:rsidRPr="00F46291" w:rsidRDefault="00686D87" w:rsidP="00EC0271">
      <w:pPr>
        <w:widowControl w:val="0"/>
        <w:autoSpaceDE w:val="0"/>
        <w:autoSpaceDN w:val="0"/>
        <w:adjustRightInd w:val="0"/>
        <w:ind w:left="630" w:hanging="270"/>
        <w:jc w:val="both"/>
        <w:rPr>
          <w:rFonts w:ascii="Calibri" w:hAnsi="Calibri"/>
          <w:sz w:val="22"/>
          <w:szCs w:val="22"/>
        </w:rPr>
      </w:pPr>
      <w:r w:rsidRPr="008D7B56">
        <w:rPr>
          <w:noProof/>
          <w:lang w:eastAsia="en-US"/>
        </w:rPr>
        <w:drawing>
          <wp:inline distT="0" distB="0" distL="0" distR="0" wp14:anchorId="1BD9C624" wp14:editId="5873E0CD">
            <wp:extent cx="5486400" cy="5854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85470"/>
                    </a:xfrm>
                    <a:prstGeom prst="rect">
                      <a:avLst/>
                    </a:prstGeom>
                    <a:noFill/>
                    <a:ln>
                      <a:noFill/>
                    </a:ln>
                  </pic:spPr>
                </pic:pic>
              </a:graphicData>
            </a:graphic>
          </wp:inline>
        </w:drawing>
      </w:r>
    </w:p>
    <w:p w14:paraId="7D9D87A9" w14:textId="77777777" w:rsidR="0061091F" w:rsidRPr="00F46291" w:rsidRDefault="0061091F" w:rsidP="00EC0271">
      <w:pPr>
        <w:widowControl w:val="0"/>
        <w:autoSpaceDE w:val="0"/>
        <w:autoSpaceDN w:val="0"/>
        <w:adjustRightInd w:val="0"/>
        <w:ind w:left="630" w:hanging="270"/>
        <w:jc w:val="both"/>
        <w:rPr>
          <w:rFonts w:ascii="Calibri" w:hAnsi="Calibri"/>
          <w:sz w:val="22"/>
          <w:szCs w:val="22"/>
        </w:rPr>
      </w:pPr>
    </w:p>
    <w:p w14:paraId="3DE04DEB" w14:textId="41E1D398" w:rsidR="007B3D13"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7. </w:t>
      </w:r>
      <w:r w:rsidRPr="00F46291">
        <w:rPr>
          <w:rFonts w:ascii="Calibri" w:hAnsi="Calibri"/>
          <w:b/>
          <w:sz w:val="22"/>
          <w:szCs w:val="22"/>
        </w:rPr>
        <w:t xml:space="preserve">[Para. 7-b-7] </w:t>
      </w:r>
      <w:r w:rsidRPr="00F46291">
        <w:rPr>
          <w:rFonts w:ascii="Calibri" w:hAnsi="Calibri"/>
          <w:sz w:val="22"/>
          <w:szCs w:val="22"/>
        </w:rPr>
        <w:t>Materials and supplies issued during the period amounted</w:t>
      </w:r>
      <w:r w:rsidR="00634DBC" w:rsidRPr="00F46291">
        <w:rPr>
          <w:rFonts w:ascii="Calibri" w:hAnsi="Calibri"/>
          <w:sz w:val="22"/>
          <w:szCs w:val="22"/>
        </w:rPr>
        <w:t xml:space="preserve"> to $255,000 for operations; $13</w:t>
      </w:r>
      <w:r w:rsidRPr="00F46291">
        <w:rPr>
          <w:rFonts w:ascii="Calibri" w:hAnsi="Calibri"/>
          <w:sz w:val="22"/>
          <w:szCs w:val="22"/>
        </w:rPr>
        <w:t>2,000 for maintenance; and $166,000 for construction.</w:t>
      </w:r>
      <w:r w:rsidR="00E721E5" w:rsidRPr="00F46291">
        <w:rPr>
          <w:rFonts w:ascii="Calibri" w:hAnsi="Calibri"/>
          <w:sz w:val="22"/>
          <w:szCs w:val="22"/>
        </w:rPr>
        <w:t xml:space="preserve"> Same as above </w:t>
      </w:r>
      <w:r w:rsidR="00C7260A" w:rsidRPr="00F46291">
        <w:rPr>
          <w:rFonts w:ascii="Calibri" w:hAnsi="Calibri"/>
          <w:sz w:val="22"/>
          <w:szCs w:val="22"/>
        </w:rPr>
        <w:t xml:space="preserve">as the explanation for these expenses </w:t>
      </w:r>
      <w:r w:rsidR="00E721E5" w:rsidRPr="00F46291">
        <w:rPr>
          <w:rFonts w:ascii="Calibri" w:hAnsi="Calibri"/>
          <w:sz w:val="22"/>
          <w:szCs w:val="22"/>
        </w:rPr>
        <w:t xml:space="preserve">but the materials and supplies were previously paid for and recorded in the Inventory of Supplies account. </w:t>
      </w:r>
      <w:r w:rsidR="00345A04">
        <w:rPr>
          <w:rFonts w:ascii="Calibri" w:hAnsi="Calibri"/>
          <w:sz w:val="22"/>
          <w:szCs w:val="22"/>
        </w:rPr>
        <w:t xml:space="preserve"> (This is essentially a reclassification entry).</w:t>
      </w:r>
    </w:p>
    <w:p w14:paraId="144A8FB7" w14:textId="77777777" w:rsidR="00345A04" w:rsidRDefault="00345A04" w:rsidP="00EC0271">
      <w:pPr>
        <w:widowControl w:val="0"/>
        <w:autoSpaceDE w:val="0"/>
        <w:autoSpaceDN w:val="0"/>
        <w:adjustRightInd w:val="0"/>
        <w:ind w:left="630" w:hanging="270"/>
        <w:jc w:val="both"/>
        <w:rPr>
          <w:rFonts w:ascii="Calibri" w:hAnsi="Calibri"/>
          <w:sz w:val="22"/>
          <w:szCs w:val="22"/>
        </w:rPr>
      </w:pPr>
    </w:p>
    <w:p w14:paraId="19D7671D" w14:textId="5162D8FE" w:rsidR="00345A04" w:rsidRPr="00F46291" w:rsidRDefault="00686D87" w:rsidP="00EC0271">
      <w:pPr>
        <w:widowControl w:val="0"/>
        <w:autoSpaceDE w:val="0"/>
        <w:autoSpaceDN w:val="0"/>
        <w:adjustRightInd w:val="0"/>
        <w:ind w:left="630" w:hanging="270"/>
        <w:jc w:val="both"/>
        <w:rPr>
          <w:rFonts w:ascii="Calibri" w:hAnsi="Calibri"/>
          <w:sz w:val="22"/>
          <w:szCs w:val="22"/>
        </w:rPr>
      </w:pPr>
      <w:r w:rsidRPr="008D7B56">
        <w:rPr>
          <w:noProof/>
          <w:lang w:eastAsia="en-US"/>
        </w:rPr>
        <w:drawing>
          <wp:inline distT="0" distB="0" distL="0" distR="0" wp14:anchorId="7C129A49" wp14:editId="65D5AD36">
            <wp:extent cx="5486400" cy="5632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63245"/>
                    </a:xfrm>
                    <a:prstGeom prst="rect">
                      <a:avLst/>
                    </a:prstGeom>
                    <a:noFill/>
                    <a:ln>
                      <a:noFill/>
                    </a:ln>
                  </pic:spPr>
                </pic:pic>
              </a:graphicData>
            </a:graphic>
          </wp:inline>
        </w:drawing>
      </w:r>
    </w:p>
    <w:p w14:paraId="611A17D8"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5F29B75F" w14:textId="44E2875B" w:rsidR="007B3D13" w:rsidRDefault="007B3D13" w:rsidP="00345A04">
      <w:pPr>
        <w:autoSpaceDE w:val="0"/>
        <w:autoSpaceDN w:val="0"/>
        <w:adjustRightInd w:val="0"/>
        <w:ind w:left="634" w:hanging="274"/>
        <w:jc w:val="both"/>
        <w:rPr>
          <w:rFonts w:ascii="Calibri" w:hAnsi="Calibri"/>
          <w:sz w:val="22"/>
          <w:szCs w:val="22"/>
        </w:rPr>
      </w:pPr>
      <w:r w:rsidRPr="00F46291">
        <w:rPr>
          <w:rFonts w:ascii="Calibri" w:hAnsi="Calibri"/>
          <w:sz w:val="22"/>
          <w:szCs w:val="22"/>
        </w:rPr>
        <w:t xml:space="preserve">8. </w:t>
      </w:r>
      <w:r w:rsidRPr="00F46291">
        <w:rPr>
          <w:rFonts w:ascii="Calibri" w:hAnsi="Calibri"/>
          <w:b/>
          <w:sz w:val="22"/>
          <w:szCs w:val="22"/>
        </w:rPr>
        <w:t>[Para. 7-b-8]</w:t>
      </w:r>
      <w:r w:rsidRPr="00F46291">
        <w:rPr>
          <w:rFonts w:ascii="Calibri" w:hAnsi="Calibri"/>
          <w:sz w:val="22"/>
          <w:szCs w:val="22"/>
        </w:rPr>
        <w:t xml:space="preserve"> Bond interest due on</w:t>
      </w:r>
      <w:r w:rsidR="00634DBC" w:rsidRPr="00F46291">
        <w:rPr>
          <w:rFonts w:ascii="Calibri" w:hAnsi="Calibri"/>
          <w:sz w:val="22"/>
          <w:szCs w:val="22"/>
        </w:rPr>
        <w:t xml:space="preserve"> July 1, 2017</w:t>
      </w:r>
      <w:r w:rsidRPr="00F46291">
        <w:rPr>
          <w:rFonts w:ascii="Calibri" w:hAnsi="Calibri"/>
          <w:sz w:val="22"/>
          <w:szCs w:val="22"/>
        </w:rPr>
        <w:t xml:space="preserve"> was paid.</w:t>
      </w:r>
      <w:r w:rsidR="00345A04">
        <w:rPr>
          <w:rFonts w:ascii="Calibri" w:hAnsi="Calibri"/>
          <w:sz w:val="22"/>
          <w:szCs w:val="22"/>
        </w:rPr>
        <w:t xml:space="preserve"> (Bond interest is paid in equal amounts for each payment). </w:t>
      </w:r>
      <w:r w:rsidRPr="00F46291">
        <w:rPr>
          <w:rFonts w:ascii="Calibri" w:hAnsi="Calibri"/>
          <w:sz w:val="22"/>
          <w:szCs w:val="22"/>
        </w:rPr>
        <w:t xml:space="preserve"> As part of the journal entry, 1/40</w:t>
      </w:r>
      <w:r w:rsidRPr="00F46291">
        <w:rPr>
          <w:rFonts w:ascii="Calibri" w:hAnsi="Calibri"/>
          <w:sz w:val="22"/>
          <w:szCs w:val="22"/>
          <w:vertAlign w:val="superscript"/>
        </w:rPr>
        <w:t>th</w:t>
      </w:r>
      <w:r w:rsidRPr="00F46291">
        <w:rPr>
          <w:rFonts w:ascii="Calibri" w:hAnsi="Calibri"/>
          <w:sz w:val="22"/>
          <w:szCs w:val="22"/>
        </w:rPr>
        <w:t xml:space="preserve"> of the Unamortized Bond </w:t>
      </w:r>
      <w:r w:rsidRPr="00F46291">
        <w:rPr>
          <w:rFonts w:ascii="Calibri" w:hAnsi="Calibri"/>
          <w:b/>
          <w:sz w:val="22"/>
          <w:szCs w:val="22"/>
        </w:rPr>
        <w:t>Discount</w:t>
      </w:r>
      <w:r w:rsidRPr="00F46291">
        <w:rPr>
          <w:rFonts w:ascii="Calibri" w:hAnsi="Calibri"/>
          <w:sz w:val="22"/>
          <w:szCs w:val="22"/>
        </w:rPr>
        <w:t xml:space="preserve"> on Revenue Bonds Payable </w:t>
      </w:r>
      <w:r w:rsidR="00143C07" w:rsidRPr="00F46291">
        <w:rPr>
          <w:rFonts w:ascii="Calibri" w:hAnsi="Calibri"/>
          <w:sz w:val="22"/>
          <w:szCs w:val="22"/>
        </w:rPr>
        <w:t xml:space="preserve">(beginning balance) </w:t>
      </w:r>
      <w:r w:rsidRPr="00F46291">
        <w:rPr>
          <w:rFonts w:ascii="Calibri" w:hAnsi="Calibri"/>
          <w:sz w:val="22"/>
          <w:szCs w:val="22"/>
        </w:rPr>
        <w:t>should be amortized.</w:t>
      </w:r>
    </w:p>
    <w:p w14:paraId="4D040B3D" w14:textId="77777777" w:rsidR="00345A04" w:rsidRDefault="00345A04" w:rsidP="00EC0271">
      <w:pPr>
        <w:widowControl w:val="0"/>
        <w:autoSpaceDE w:val="0"/>
        <w:autoSpaceDN w:val="0"/>
        <w:adjustRightInd w:val="0"/>
        <w:ind w:left="630" w:hanging="270"/>
        <w:jc w:val="both"/>
        <w:rPr>
          <w:noProof/>
          <w:lang w:eastAsia="en-US"/>
        </w:rPr>
      </w:pPr>
    </w:p>
    <w:p w14:paraId="0ABBCE63" w14:textId="2F1B3EFE" w:rsidR="00345A04"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1C4293E2" wp14:editId="0140D440">
            <wp:extent cx="5486400" cy="4318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31800"/>
                    </a:xfrm>
                    <a:prstGeom prst="rect">
                      <a:avLst/>
                    </a:prstGeom>
                    <a:noFill/>
                    <a:ln>
                      <a:noFill/>
                    </a:ln>
                  </pic:spPr>
                </pic:pic>
              </a:graphicData>
            </a:graphic>
          </wp:inline>
        </w:drawing>
      </w:r>
    </w:p>
    <w:p w14:paraId="12B4C4DF" w14:textId="0ADB1452" w:rsidR="00345A04" w:rsidRDefault="00345A04" w:rsidP="00EC0271">
      <w:pPr>
        <w:widowControl w:val="0"/>
        <w:autoSpaceDE w:val="0"/>
        <w:autoSpaceDN w:val="0"/>
        <w:adjustRightInd w:val="0"/>
        <w:ind w:left="630" w:hanging="270"/>
        <w:jc w:val="both"/>
        <w:rPr>
          <w:noProof/>
          <w:lang w:eastAsia="en-US"/>
        </w:rPr>
      </w:pPr>
    </w:p>
    <w:p w14:paraId="11A73AE6" w14:textId="77777777" w:rsidR="00345A04" w:rsidRPr="00F46291" w:rsidRDefault="00345A04" w:rsidP="00EC0271">
      <w:pPr>
        <w:widowControl w:val="0"/>
        <w:autoSpaceDE w:val="0"/>
        <w:autoSpaceDN w:val="0"/>
        <w:adjustRightInd w:val="0"/>
        <w:ind w:left="630" w:hanging="270"/>
        <w:jc w:val="both"/>
        <w:rPr>
          <w:rFonts w:ascii="Calibri" w:hAnsi="Calibri"/>
          <w:sz w:val="22"/>
          <w:szCs w:val="22"/>
        </w:rPr>
      </w:pPr>
    </w:p>
    <w:p w14:paraId="5E6CA38F" w14:textId="610A0CE3" w:rsidR="007B3D13" w:rsidRDefault="007B3D13" w:rsidP="00EC0271">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9. </w:t>
      </w:r>
      <w:r w:rsidRPr="00F46291">
        <w:rPr>
          <w:rFonts w:ascii="Calibri" w:hAnsi="Calibri"/>
          <w:b/>
          <w:sz w:val="22"/>
          <w:szCs w:val="22"/>
        </w:rPr>
        <w:t>[Para. 7-b-9]</w:t>
      </w:r>
      <w:r w:rsidRPr="00F46291">
        <w:rPr>
          <w:rFonts w:ascii="Calibri" w:hAnsi="Calibri"/>
          <w:sz w:val="22"/>
          <w:szCs w:val="22"/>
        </w:rPr>
        <w:t xml:space="preserve"> </w:t>
      </w:r>
      <w:r w:rsidR="00634DBC" w:rsidRPr="00F46291">
        <w:rPr>
          <w:rFonts w:ascii="Calibri" w:hAnsi="Calibri"/>
          <w:sz w:val="22"/>
          <w:szCs w:val="22"/>
        </w:rPr>
        <w:t xml:space="preserve">Interest </w:t>
      </w:r>
      <w:r w:rsidR="00C7260A" w:rsidRPr="00F46291">
        <w:rPr>
          <w:rFonts w:ascii="Calibri" w:hAnsi="Calibri"/>
          <w:sz w:val="22"/>
          <w:szCs w:val="22"/>
        </w:rPr>
        <w:t xml:space="preserve">on long-term debt </w:t>
      </w:r>
      <w:r w:rsidR="00634DBC" w:rsidRPr="00F46291">
        <w:rPr>
          <w:rFonts w:ascii="Calibri" w:hAnsi="Calibri"/>
          <w:sz w:val="22"/>
          <w:szCs w:val="22"/>
        </w:rPr>
        <w:t>of $32</w:t>
      </w:r>
      <w:r w:rsidRPr="00F46291">
        <w:rPr>
          <w:rFonts w:ascii="Calibri" w:hAnsi="Calibri"/>
          <w:sz w:val="22"/>
          <w:szCs w:val="22"/>
        </w:rPr>
        <w:t xml:space="preserve">,000 </w:t>
      </w:r>
      <w:r w:rsidR="00E739C7" w:rsidRPr="00F46291">
        <w:rPr>
          <w:rFonts w:ascii="Calibri" w:hAnsi="Calibri"/>
          <w:sz w:val="22"/>
          <w:szCs w:val="22"/>
        </w:rPr>
        <w:t xml:space="preserve">that was recorded as an expense </w:t>
      </w:r>
      <w:r w:rsidRPr="00F46291">
        <w:rPr>
          <w:rFonts w:ascii="Calibri" w:hAnsi="Calibri"/>
          <w:sz w:val="22"/>
          <w:szCs w:val="22"/>
        </w:rPr>
        <w:t xml:space="preserve">was determined to </w:t>
      </w:r>
      <w:r w:rsidR="00E739C7" w:rsidRPr="00F46291">
        <w:rPr>
          <w:rFonts w:ascii="Calibri" w:hAnsi="Calibri"/>
          <w:sz w:val="22"/>
          <w:szCs w:val="22"/>
        </w:rPr>
        <w:t xml:space="preserve">have </w:t>
      </w:r>
      <w:r w:rsidRPr="00F46291">
        <w:rPr>
          <w:rFonts w:ascii="Calibri" w:hAnsi="Calibri"/>
          <w:sz w:val="22"/>
          <w:szCs w:val="22"/>
        </w:rPr>
        <w:t>be</w:t>
      </w:r>
      <w:r w:rsidR="00E739C7" w:rsidRPr="00F46291">
        <w:rPr>
          <w:rFonts w:ascii="Calibri" w:hAnsi="Calibri"/>
          <w:sz w:val="22"/>
          <w:szCs w:val="22"/>
        </w:rPr>
        <w:t>en</w:t>
      </w:r>
      <w:r w:rsidRPr="00F46291">
        <w:rPr>
          <w:rFonts w:ascii="Calibri" w:hAnsi="Calibri"/>
          <w:sz w:val="22"/>
          <w:szCs w:val="22"/>
        </w:rPr>
        <w:t xml:space="preserve"> incurred during construction and </w:t>
      </w:r>
      <w:r w:rsidR="00E739C7" w:rsidRPr="00F46291">
        <w:rPr>
          <w:rFonts w:ascii="Calibri" w:hAnsi="Calibri"/>
          <w:sz w:val="22"/>
          <w:szCs w:val="22"/>
        </w:rPr>
        <w:t>should be</w:t>
      </w:r>
      <w:r w:rsidRPr="00F46291">
        <w:rPr>
          <w:rFonts w:ascii="Calibri" w:hAnsi="Calibri"/>
          <w:sz w:val="22"/>
          <w:szCs w:val="22"/>
        </w:rPr>
        <w:t xml:space="preserve"> charged to Construction Work in Progress. </w:t>
      </w:r>
      <w:r w:rsidR="00DA1FE6" w:rsidRPr="00F46291">
        <w:rPr>
          <w:rFonts w:ascii="Calibri" w:hAnsi="Calibri"/>
          <w:sz w:val="22"/>
          <w:szCs w:val="22"/>
        </w:rPr>
        <w:t xml:space="preserve"> This is a correcting journal entry. An enterprise fund capitalizes interest as construction work in progress. </w:t>
      </w:r>
    </w:p>
    <w:p w14:paraId="599D3A74" w14:textId="00BACF86" w:rsidR="00345A04" w:rsidRDefault="00345A04" w:rsidP="00EC0271">
      <w:pPr>
        <w:widowControl w:val="0"/>
        <w:autoSpaceDE w:val="0"/>
        <w:autoSpaceDN w:val="0"/>
        <w:adjustRightInd w:val="0"/>
        <w:ind w:left="630" w:hanging="270"/>
        <w:jc w:val="both"/>
        <w:rPr>
          <w:rFonts w:ascii="Calibri" w:hAnsi="Calibri"/>
          <w:sz w:val="22"/>
          <w:szCs w:val="22"/>
        </w:rPr>
      </w:pPr>
    </w:p>
    <w:p w14:paraId="19B7F7C9" w14:textId="36D71769" w:rsidR="00345A04" w:rsidRPr="00F46291" w:rsidRDefault="00686D87" w:rsidP="00EC0271">
      <w:pPr>
        <w:widowControl w:val="0"/>
        <w:autoSpaceDE w:val="0"/>
        <w:autoSpaceDN w:val="0"/>
        <w:adjustRightInd w:val="0"/>
        <w:ind w:left="630" w:hanging="270"/>
        <w:jc w:val="both"/>
        <w:rPr>
          <w:rFonts w:ascii="Calibri" w:hAnsi="Calibri"/>
          <w:sz w:val="22"/>
          <w:szCs w:val="22"/>
        </w:rPr>
      </w:pPr>
      <w:r w:rsidRPr="008D7B56">
        <w:rPr>
          <w:noProof/>
          <w:lang w:eastAsia="en-US"/>
        </w:rPr>
        <w:drawing>
          <wp:inline distT="0" distB="0" distL="0" distR="0" wp14:anchorId="01F7D3E9" wp14:editId="7362F828">
            <wp:extent cx="5494020" cy="28511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020" cy="285115"/>
                    </a:xfrm>
                    <a:prstGeom prst="rect">
                      <a:avLst/>
                    </a:prstGeom>
                    <a:noFill/>
                    <a:ln>
                      <a:noFill/>
                    </a:ln>
                  </pic:spPr>
                </pic:pic>
              </a:graphicData>
            </a:graphic>
          </wp:inline>
        </w:drawing>
      </w:r>
    </w:p>
    <w:p w14:paraId="08CB7BF2"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015EA1F9" w14:textId="291FB325" w:rsidR="007B3D13" w:rsidRDefault="00345A04" w:rsidP="00EC0271">
      <w:pPr>
        <w:widowControl w:val="0"/>
        <w:autoSpaceDE w:val="0"/>
        <w:autoSpaceDN w:val="0"/>
        <w:adjustRightInd w:val="0"/>
        <w:ind w:left="630" w:hanging="360"/>
        <w:jc w:val="both"/>
        <w:rPr>
          <w:rFonts w:ascii="Calibri" w:hAnsi="Calibri"/>
          <w:sz w:val="22"/>
          <w:szCs w:val="22"/>
        </w:rPr>
      </w:pPr>
      <w:r>
        <w:rPr>
          <w:rFonts w:ascii="Calibri" w:hAnsi="Calibri"/>
          <w:sz w:val="22"/>
          <w:szCs w:val="22"/>
        </w:rPr>
        <w:br w:type="page"/>
      </w:r>
      <w:r w:rsidR="007B3D13" w:rsidRPr="00F46291">
        <w:rPr>
          <w:rFonts w:ascii="Calibri" w:hAnsi="Calibri"/>
          <w:sz w:val="22"/>
          <w:szCs w:val="22"/>
        </w:rPr>
        <w:lastRenderedPageBreak/>
        <w:t xml:space="preserve">10. </w:t>
      </w:r>
      <w:r w:rsidR="007B3D13" w:rsidRPr="00F46291">
        <w:rPr>
          <w:rFonts w:ascii="Calibri" w:hAnsi="Calibri"/>
          <w:b/>
          <w:sz w:val="22"/>
          <w:szCs w:val="22"/>
        </w:rPr>
        <w:t>[Para. 7-b-10]</w:t>
      </w:r>
      <w:r w:rsidR="007B3D13" w:rsidRPr="00F46291">
        <w:rPr>
          <w:rFonts w:ascii="Calibri" w:hAnsi="Calibri"/>
          <w:sz w:val="22"/>
          <w:szCs w:val="22"/>
        </w:rPr>
        <w:t xml:space="preserve"> A progress billing for $</w:t>
      </w:r>
      <w:r w:rsidR="00634DBC" w:rsidRPr="00F46291">
        <w:rPr>
          <w:rFonts w:ascii="Calibri" w:hAnsi="Calibri"/>
          <w:sz w:val="22"/>
          <w:szCs w:val="22"/>
        </w:rPr>
        <w:t>38</w:t>
      </w:r>
      <w:r w:rsidR="007B3D13" w:rsidRPr="00F46291">
        <w:rPr>
          <w:rFonts w:ascii="Calibri" w:hAnsi="Calibri"/>
          <w:sz w:val="22"/>
          <w:szCs w:val="22"/>
        </w:rPr>
        <w:t>5,000 was received from the construction contractor and paid.</w:t>
      </w:r>
    </w:p>
    <w:p w14:paraId="40284DC9" w14:textId="77777777" w:rsidR="00345A04" w:rsidRPr="00F46291" w:rsidRDefault="00345A04" w:rsidP="00EC0271">
      <w:pPr>
        <w:widowControl w:val="0"/>
        <w:autoSpaceDE w:val="0"/>
        <w:autoSpaceDN w:val="0"/>
        <w:adjustRightInd w:val="0"/>
        <w:ind w:left="630" w:hanging="360"/>
        <w:jc w:val="both"/>
        <w:rPr>
          <w:rFonts w:ascii="Calibri" w:hAnsi="Calibri"/>
          <w:sz w:val="22"/>
          <w:szCs w:val="22"/>
        </w:rPr>
      </w:pPr>
    </w:p>
    <w:p w14:paraId="267883A2" w14:textId="3531075A" w:rsidR="007B3D1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1AFD1675" wp14:editId="3AADB622">
            <wp:extent cx="5486400" cy="28511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85115"/>
                    </a:xfrm>
                    <a:prstGeom prst="rect">
                      <a:avLst/>
                    </a:prstGeom>
                    <a:noFill/>
                    <a:ln>
                      <a:noFill/>
                    </a:ln>
                  </pic:spPr>
                </pic:pic>
              </a:graphicData>
            </a:graphic>
          </wp:inline>
        </w:drawing>
      </w:r>
    </w:p>
    <w:p w14:paraId="7E51528B" w14:textId="77777777" w:rsidR="00345A04" w:rsidRPr="00F46291" w:rsidRDefault="00345A04" w:rsidP="00EC0271">
      <w:pPr>
        <w:widowControl w:val="0"/>
        <w:autoSpaceDE w:val="0"/>
        <w:autoSpaceDN w:val="0"/>
        <w:adjustRightInd w:val="0"/>
        <w:ind w:left="630" w:hanging="270"/>
        <w:jc w:val="both"/>
        <w:rPr>
          <w:rFonts w:ascii="Calibri" w:hAnsi="Calibri"/>
          <w:sz w:val="22"/>
          <w:szCs w:val="22"/>
        </w:rPr>
      </w:pPr>
    </w:p>
    <w:p w14:paraId="785E9DD7" w14:textId="70484629" w:rsidR="007B3D13" w:rsidRPr="00F46291" w:rsidRDefault="007B3D13" w:rsidP="00EC0271">
      <w:pPr>
        <w:widowControl w:val="0"/>
        <w:autoSpaceDE w:val="0"/>
        <w:autoSpaceDN w:val="0"/>
        <w:adjustRightInd w:val="0"/>
        <w:ind w:left="630" w:hanging="360"/>
        <w:jc w:val="both"/>
        <w:rPr>
          <w:rFonts w:ascii="Calibri" w:hAnsi="Calibri"/>
          <w:sz w:val="22"/>
          <w:szCs w:val="22"/>
        </w:rPr>
      </w:pPr>
      <w:r w:rsidRPr="00F46291">
        <w:rPr>
          <w:rFonts w:ascii="Calibri" w:hAnsi="Calibri"/>
          <w:sz w:val="22"/>
          <w:szCs w:val="22"/>
        </w:rPr>
        <w:t xml:space="preserve">11. </w:t>
      </w:r>
      <w:r w:rsidRPr="00F46291">
        <w:rPr>
          <w:rFonts w:ascii="Calibri" w:hAnsi="Calibri"/>
          <w:b/>
          <w:sz w:val="22"/>
          <w:szCs w:val="22"/>
        </w:rPr>
        <w:t>[Para. 7-b-11]</w:t>
      </w:r>
      <w:r w:rsidRPr="00F46291">
        <w:rPr>
          <w:rFonts w:ascii="Calibri" w:hAnsi="Calibri"/>
          <w:sz w:val="22"/>
          <w:szCs w:val="22"/>
        </w:rPr>
        <w:t xml:space="preserve"> Some assets under construction at the start of the year and some started during the year were completed and placed in service. The costs incurred on t</w:t>
      </w:r>
      <w:r w:rsidR="009B6723" w:rsidRPr="00F46291">
        <w:rPr>
          <w:rFonts w:ascii="Calibri" w:hAnsi="Calibri"/>
          <w:sz w:val="22"/>
          <w:szCs w:val="22"/>
        </w:rPr>
        <w:t>his construction totaled $1,102,75</w:t>
      </w:r>
      <w:r w:rsidRPr="00F46291">
        <w:rPr>
          <w:rFonts w:ascii="Calibri" w:hAnsi="Calibri"/>
          <w:sz w:val="22"/>
          <w:szCs w:val="22"/>
        </w:rPr>
        <w:t>0.</w:t>
      </w:r>
      <w:r w:rsidR="00C33CBF" w:rsidRPr="00F46291">
        <w:rPr>
          <w:rFonts w:ascii="Calibri" w:hAnsi="Calibri"/>
          <w:sz w:val="22"/>
          <w:szCs w:val="22"/>
        </w:rPr>
        <w:t xml:space="preserve"> This is a reclassification from construction work in progress to utility plant in service. </w:t>
      </w:r>
    </w:p>
    <w:p w14:paraId="0DFE290C" w14:textId="77777777" w:rsidR="004E7DD4" w:rsidRDefault="004E7DD4" w:rsidP="00EC0271">
      <w:pPr>
        <w:widowControl w:val="0"/>
        <w:autoSpaceDE w:val="0"/>
        <w:autoSpaceDN w:val="0"/>
        <w:adjustRightInd w:val="0"/>
        <w:ind w:left="630" w:hanging="270"/>
        <w:jc w:val="both"/>
        <w:rPr>
          <w:noProof/>
          <w:lang w:eastAsia="en-US"/>
        </w:rPr>
      </w:pPr>
    </w:p>
    <w:p w14:paraId="60DA2B17" w14:textId="5FC5DA5E" w:rsidR="007B3D1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07E60F3F" wp14:editId="5BAB9026">
            <wp:extent cx="5486400" cy="263525"/>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63525"/>
                    </a:xfrm>
                    <a:prstGeom prst="rect">
                      <a:avLst/>
                    </a:prstGeom>
                    <a:noFill/>
                    <a:ln>
                      <a:noFill/>
                    </a:ln>
                  </pic:spPr>
                </pic:pic>
              </a:graphicData>
            </a:graphic>
          </wp:inline>
        </w:drawing>
      </w:r>
    </w:p>
    <w:p w14:paraId="3C55CC59" w14:textId="77777777" w:rsidR="004E7DD4" w:rsidRPr="00F46291" w:rsidRDefault="004E7DD4" w:rsidP="00EC0271">
      <w:pPr>
        <w:widowControl w:val="0"/>
        <w:autoSpaceDE w:val="0"/>
        <w:autoSpaceDN w:val="0"/>
        <w:adjustRightInd w:val="0"/>
        <w:ind w:left="630" w:hanging="270"/>
        <w:jc w:val="both"/>
        <w:rPr>
          <w:rFonts w:ascii="Calibri" w:hAnsi="Calibri"/>
          <w:sz w:val="22"/>
          <w:szCs w:val="22"/>
        </w:rPr>
      </w:pPr>
    </w:p>
    <w:p w14:paraId="2CB3FBD4" w14:textId="447EDC37" w:rsidR="007B3D13" w:rsidRPr="00F46291" w:rsidRDefault="007B3D13" w:rsidP="00EC0271">
      <w:pPr>
        <w:widowControl w:val="0"/>
        <w:autoSpaceDE w:val="0"/>
        <w:autoSpaceDN w:val="0"/>
        <w:adjustRightInd w:val="0"/>
        <w:ind w:left="630" w:hanging="360"/>
        <w:jc w:val="both"/>
        <w:rPr>
          <w:rFonts w:ascii="Calibri" w:hAnsi="Calibri"/>
          <w:sz w:val="22"/>
          <w:szCs w:val="22"/>
        </w:rPr>
      </w:pPr>
      <w:r w:rsidRPr="00F46291">
        <w:rPr>
          <w:rFonts w:ascii="Calibri" w:hAnsi="Calibri"/>
          <w:sz w:val="22"/>
          <w:szCs w:val="22"/>
        </w:rPr>
        <w:t xml:space="preserve">12. </w:t>
      </w:r>
      <w:r w:rsidRPr="00F46291">
        <w:rPr>
          <w:rFonts w:ascii="Calibri" w:hAnsi="Calibri"/>
          <w:b/>
          <w:sz w:val="22"/>
          <w:szCs w:val="22"/>
        </w:rPr>
        <w:t>[Para. 7-b-12]</w:t>
      </w:r>
      <w:r w:rsidRPr="00F46291">
        <w:rPr>
          <w:rFonts w:ascii="Calibri" w:hAnsi="Calibri"/>
          <w:sz w:val="22"/>
          <w:szCs w:val="22"/>
        </w:rPr>
        <w:t xml:space="preserve"> Collection efforts were disco</w:t>
      </w:r>
      <w:r w:rsidR="009B6723" w:rsidRPr="00F46291">
        <w:rPr>
          <w:rFonts w:ascii="Calibri" w:hAnsi="Calibri"/>
          <w:sz w:val="22"/>
          <w:szCs w:val="22"/>
        </w:rPr>
        <w:t>ntinued on bills amounting to $5,1</w:t>
      </w:r>
      <w:r w:rsidRPr="00F46291">
        <w:rPr>
          <w:rFonts w:ascii="Calibri" w:hAnsi="Calibri"/>
          <w:sz w:val="22"/>
          <w:szCs w:val="22"/>
        </w:rPr>
        <w:t>50; the customers owing the bills had paid deposits and interest to the wat</w:t>
      </w:r>
      <w:r w:rsidR="009B6723" w:rsidRPr="00F46291">
        <w:rPr>
          <w:rFonts w:ascii="Calibri" w:hAnsi="Calibri"/>
          <w:sz w:val="22"/>
          <w:szCs w:val="22"/>
        </w:rPr>
        <w:t>er utility in the amount of $1,4</w:t>
      </w:r>
      <w:r w:rsidRPr="00F46291">
        <w:rPr>
          <w:rFonts w:ascii="Calibri" w:hAnsi="Calibri"/>
          <w:sz w:val="22"/>
          <w:szCs w:val="22"/>
        </w:rPr>
        <w:t>50.</w:t>
      </w:r>
      <w:r w:rsidR="00D360C3" w:rsidRPr="00F46291">
        <w:rPr>
          <w:rFonts w:ascii="Calibri" w:hAnsi="Calibri"/>
          <w:sz w:val="22"/>
          <w:szCs w:val="22"/>
        </w:rPr>
        <w:t xml:space="preserve"> (Note: C</w:t>
      </w:r>
      <w:r w:rsidR="006C3501" w:rsidRPr="00F46291">
        <w:rPr>
          <w:rFonts w:ascii="Calibri" w:hAnsi="Calibri"/>
          <w:sz w:val="22"/>
          <w:szCs w:val="22"/>
        </w:rPr>
        <w:t xml:space="preserve">ash </w:t>
      </w:r>
      <w:r w:rsidR="00D360C3" w:rsidRPr="00F46291">
        <w:rPr>
          <w:rFonts w:ascii="Calibri" w:hAnsi="Calibri"/>
          <w:sz w:val="22"/>
          <w:szCs w:val="22"/>
        </w:rPr>
        <w:t>recorded as restricted for customer deposits can now be considered unrestricted and reclassified to cash</w:t>
      </w:r>
      <w:r w:rsidR="006C3501" w:rsidRPr="00F46291">
        <w:rPr>
          <w:rFonts w:ascii="Calibri" w:hAnsi="Calibri"/>
          <w:sz w:val="22"/>
          <w:szCs w:val="22"/>
        </w:rPr>
        <w:t>.)</w:t>
      </w:r>
      <w:r w:rsidR="004E7DD4">
        <w:rPr>
          <w:rFonts w:ascii="Calibri" w:hAnsi="Calibri"/>
          <w:sz w:val="22"/>
          <w:szCs w:val="22"/>
        </w:rPr>
        <w:t xml:space="preserve"> Why is the accumulated provision for uncollectible accounts being debited? </w:t>
      </w:r>
    </w:p>
    <w:p w14:paraId="7265EE6D" w14:textId="631700A6" w:rsidR="004E7DD4" w:rsidRDefault="00686D87" w:rsidP="004E7DD4">
      <w:pPr>
        <w:widowControl w:val="0"/>
        <w:autoSpaceDE w:val="0"/>
        <w:autoSpaceDN w:val="0"/>
        <w:adjustRightInd w:val="0"/>
        <w:ind w:left="630" w:hanging="270"/>
        <w:jc w:val="both"/>
        <w:rPr>
          <w:rFonts w:ascii="Calibri" w:hAnsi="Calibri"/>
          <w:sz w:val="22"/>
          <w:szCs w:val="22"/>
        </w:rPr>
      </w:pPr>
      <w:r>
        <w:rPr>
          <w:noProof/>
          <w:lang w:eastAsia="en-US"/>
        </w:rPr>
        <w:drawing>
          <wp:inline distT="0" distB="0" distL="0" distR="0" wp14:anchorId="4ACA3C31" wp14:editId="40965A67">
            <wp:extent cx="5486400" cy="1177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177925"/>
                    </a:xfrm>
                    <a:prstGeom prst="rect">
                      <a:avLst/>
                    </a:prstGeom>
                    <a:noFill/>
                    <a:ln>
                      <a:noFill/>
                    </a:ln>
                  </pic:spPr>
                </pic:pic>
              </a:graphicData>
            </a:graphic>
          </wp:inline>
        </w:drawing>
      </w:r>
    </w:p>
    <w:p w14:paraId="3CF67B53" w14:textId="77777777" w:rsidR="004E7DD4" w:rsidRDefault="004E7DD4" w:rsidP="004E7DD4">
      <w:pPr>
        <w:widowControl w:val="0"/>
        <w:autoSpaceDE w:val="0"/>
        <w:autoSpaceDN w:val="0"/>
        <w:adjustRightInd w:val="0"/>
        <w:ind w:left="630" w:hanging="270"/>
        <w:jc w:val="both"/>
        <w:rPr>
          <w:rFonts w:ascii="Calibri" w:hAnsi="Calibri"/>
          <w:sz w:val="22"/>
          <w:szCs w:val="22"/>
        </w:rPr>
      </w:pPr>
    </w:p>
    <w:p w14:paraId="0C0F05D2" w14:textId="77777777" w:rsidR="004E7DD4" w:rsidRDefault="004E7DD4" w:rsidP="004E7DD4">
      <w:pPr>
        <w:widowControl w:val="0"/>
        <w:autoSpaceDE w:val="0"/>
        <w:autoSpaceDN w:val="0"/>
        <w:adjustRightInd w:val="0"/>
        <w:ind w:left="630" w:hanging="270"/>
        <w:jc w:val="both"/>
        <w:rPr>
          <w:rFonts w:ascii="Calibri" w:hAnsi="Calibri"/>
          <w:sz w:val="22"/>
          <w:szCs w:val="22"/>
        </w:rPr>
      </w:pPr>
    </w:p>
    <w:p w14:paraId="695D4E88" w14:textId="3926DF97" w:rsidR="003866B6" w:rsidRPr="00F46291" w:rsidRDefault="007B3D13" w:rsidP="004E7DD4">
      <w:pPr>
        <w:widowControl w:val="0"/>
        <w:autoSpaceDE w:val="0"/>
        <w:autoSpaceDN w:val="0"/>
        <w:adjustRightInd w:val="0"/>
        <w:ind w:left="630" w:hanging="270"/>
        <w:jc w:val="both"/>
        <w:rPr>
          <w:rFonts w:ascii="Calibri" w:hAnsi="Calibri"/>
          <w:sz w:val="22"/>
          <w:szCs w:val="22"/>
        </w:rPr>
      </w:pPr>
      <w:r w:rsidRPr="00F46291">
        <w:rPr>
          <w:rFonts w:ascii="Calibri" w:hAnsi="Calibri"/>
          <w:sz w:val="22"/>
          <w:szCs w:val="22"/>
        </w:rPr>
        <w:t xml:space="preserve">13. </w:t>
      </w:r>
      <w:r w:rsidRPr="00F46291">
        <w:rPr>
          <w:rFonts w:ascii="Calibri" w:hAnsi="Calibri"/>
          <w:b/>
          <w:sz w:val="22"/>
          <w:szCs w:val="22"/>
        </w:rPr>
        <w:t>[Para. 7-b-13]</w:t>
      </w:r>
      <w:r w:rsidRPr="00F46291">
        <w:rPr>
          <w:rFonts w:ascii="Calibri" w:hAnsi="Calibri"/>
          <w:sz w:val="22"/>
          <w:szCs w:val="22"/>
        </w:rPr>
        <w:t xml:space="preserve"> Customer deposits and interest thereon amounting to $2,500 were applied to the final bills of customers discontinuing service. </w:t>
      </w:r>
      <w:r w:rsidR="004E7DD4">
        <w:rPr>
          <w:rFonts w:ascii="Calibri" w:hAnsi="Calibri"/>
          <w:sz w:val="22"/>
          <w:szCs w:val="22"/>
        </w:rPr>
        <w:t xml:space="preserve">Record this as a reduction of </w:t>
      </w:r>
      <w:r w:rsidR="003866B6" w:rsidRPr="00F46291">
        <w:rPr>
          <w:rFonts w:ascii="Calibri" w:hAnsi="Calibri"/>
          <w:sz w:val="22"/>
          <w:szCs w:val="22"/>
        </w:rPr>
        <w:t xml:space="preserve">accounts receivable and a relief of the liability for customer deposits. </w:t>
      </w:r>
    </w:p>
    <w:p w14:paraId="787A64C9" w14:textId="6B40A6F1" w:rsidR="003866B6" w:rsidRPr="00F46291" w:rsidRDefault="003866B6" w:rsidP="00EC0271">
      <w:pPr>
        <w:widowControl w:val="0"/>
        <w:autoSpaceDE w:val="0"/>
        <w:autoSpaceDN w:val="0"/>
        <w:adjustRightInd w:val="0"/>
        <w:ind w:left="630" w:hanging="360"/>
        <w:jc w:val="both"/>
        <w:rPr>
          <w:rFonts w:ascii="Calibri" w:hAnsi="Calibri"/>
          <w:sz w:val="22"/>
          <w:szCs w:val="22"/>
        </w:rPr>
      </w:pPr>
    </w:p>
    <w:p w14:paraId="2A515906" w14:textId="29003536" w:rsidR="003866B6" w:rsidRPr="00F46291" w:rsidRDefault="003866B6" w:rsidP="00EC0271">
      <w:pPr>
        <w:widowControl w:val="0"/>
        <w:autoSpaceDE w:val="0"/>
        <w:autoSpaceDN w:val="0"/>
        <w:adjustRightInd w:val="0"/>
        <w:ind w:left="630" w:hanging="360"/>
        <w:jc w:val="both"/>
        <w:rPr>
          <w:rFonts w:ascii="Calibri" w:hAnsi="Calibri"/>
          <w:sz w:val="22"/>
          <w:szCs w:val="22"/>
        </w:rPr>
      </w:pPr>
      <w:r w:rsidRPr="00F46291">
        <w:rPr>
          <w:rFonts w:ascii="Calibri" w:hAnsi="Calibri"/>
          <w:sz w:val="22"/>
          <w:szCs w:val="22"/>
        </w:rPr>
        <w:tab/>
        <w:t xml:space="preserve">Also, record the reclassification from restricted cash for customer deposits to cash. </w:t>
      </w:r>
    </w:p>
    <w:p w14:paraId="6A1C3FE2" w14:textId="77777777" w:rsidR="003866B6" w:rsidRPr="00F46291" w:rsidRDefault="003866B6" w:rsidP="00EC0271">
      <w:pPr>
        <w:widowControl w:val="0"/>
        <w:autoSpaceDE w:val="0"/>
        <w:autoSpaceDN w:val="0"/>
        <w:adjustRightInd w:val="0"/>
        <w:ind w:left="630" w:hanging="360"/>
        <w:jc w:val="both"/>
        <w:rPr>
          <w:rFonts w:ascii="Calibri" w:hAnsi="Calibri"/>
          <w:sz w:val="22"/>
          <w:szCs w:val="22"/>
        </w:rPr>
      </w:pPr>
    </w:p>
    <w:p w14:paraId="5919F4DC" w14:textId="1DA7B0D1" w:rsidR="00AC5E73" w:rsidRDefault="007B3D13" w:rsidP="003866B6">
      <w:pPr>
        <w:widowControl w:val="0"/>
        <w:autoSpaceDE w:val="0"/>
        <w:autoSpaceDN w:val="0"/>
        <w:adjustRightInd w:val="0"/>
        <w:ind w:left="630"/>
        <w:jc w:val="both"/>
        <w:rPr>
          <w:rFonts w:ascii="Calibri" w:hAnsi="Calibri"/>
          <w:sz w:val="22"/>
          <w:szCs w:val="22"/>
        </w:rPr>
      </w:pPr>
      <w:r w:rsidRPr="00F46291">
        <w:rPr>
          <w:rFonts w:ascii="Calibri" w:hAnsi="Calibri"/>
          <w:sz w:val="22"/>
          <w:szCs w:val="22"/>
        </w:rPr>
        <w:t>Additional depos</w:t>
      </w:r>
      <w:r w:rsidR="009B6723" w:rsidRPr="00F46291">
        <w:rPr>
          <w:rFonts w:ascii="Calibri" w:hAnsi="Calibri"/>
          <w:sz w:val="22"/>
          <w:szCs w:val="22"/>
        </w:rPr>
        <w:t>its and interest amounting to $2,9</w:t>
      </w:r>
      <w:r w:rsidRPr="00F46291">
        <w:rPr>
          <w:rFonts w:ascii="Calibri" w:hAnsi="Calibri"/>
          <w:sz w:val="22"/>
          <w:szCs w:val="22"/>
        </w:rPr>
        <w:t xml:space="preserve">50 were refunded by check to customers discontinuing service. </w:t>
      </w:r>
      <w:r w:rsidR="003866B6" w:rsidRPr="00F46291">
        <w:rPr>
          <w:rFonts w:ascii="Calibri" w:hAnsi="Calibri"/>
          <w:sz w:val="22"/>
          <w:szCs w:val="22"/>
        </w:rPr>
        <w:t xml:space="preserve">This transaction relieves the amount due to customers for deposits and is paid out of restricted cash for customer deposits. </w:t>
      </w:r>
    </w:p>
    <w:p w14:paraId="4536F3E7" w14:textId="77777777" w:rsidR="004E7DD4" w:rsidRPr="00F46291" w:rsidRDefault="004E7DD4" w:rsidP="003866B6">
      <w:pPr>
        <w:widowControl w:val="0"/>
        <w:autoSpaceDE w:val="0"/>
        <w:autoSpaceDN w:val="0"/>
        <w:adjustRightInd w:val="0"/>
        <w:ind w:left="630"/>
        <w:jc w:val="both"/>
        <w:rPr>
          <w:rFonts w:ascii="Calibri" w:hAnsi="Calibri"/>
          <w:sz w:val="22"/>
          <w:szCs w:val="22"/>
        </w:rPr>
      </w:pPr>
    </w:p>
    <w:p w14:paraId="53D37097" w14:textId="56765BB5" w:rsidR="00AC5E7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58D8BF2A" wp14:editId="4A3B0D34">
            <wp:extent cx="5486400" cy="85598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855980"/>
                    </a:xfrm>
                    <a:prstGeom prst="rect">
                      <a:avLst/>
                    </a:prstGeom>
                    <a:noFill/>
                    <a:ln>
                      <a:noFill/>
                    </a:ln>
                  </pic:spPr>
                </pic:pic>
              </a:graphicData>
            </a:graphic>
          </wp:inline>
        </w:drawing>
      </w:r>
    </w:p>
    <w:p w14:paraId="7C03D99E" w14:textId="77777777" w:rsidR="004E7DD4" w:rsidRPr="00F46291" w:rsidRDefault="004E7DD4" w:rsidP="00EC0271">
      <w:pPr>
        <w:widowControl w:val="0"/>
        <w:autoSpaceDE w:val="0"/>
        <w:autoSpaceDN w:val="0"/>
        <w:adjustRightInd w:val="0"/>
        <w:ind w:left="630" w:hanging="270"/>
        <w:jc w:val="both"/>
        <w:rPr>
          <w:rFonts w:ascii="Calibri" w:hAnsi="Calibri"/>
          <w:sz w:val="22"/>
          <w:szCs w:val="22"/>
        </w:rPr>
      </w:pPr>
    </w:p>
    <w:p w14:paraId="7193346F" w14:textId="2571CBC9" w:rsidR="007B3D13" w:rsidRDefault="004E7DD4" w:rsidP="00EC0271">
      <w:pPr>
        <w:widowControl w:val="0"/>
        <w:autoSpaceDE w:val="0"/>
        <w:autoSpaceDN w:val="0"/>
        <w:adjustRightInd w:val="0"/>
        <w:ind w:left="630" w:hanging="360"/>
        <w:jc w:val="both"/>
        <w:rPr>
          <w:rFonts w:ascii="Calibri" w:hAnsi="Calibri"/>
          <w:sz w:val="22"/>
          <w:szCs w:val="22"/>
        </w:rPr>
      </w:pPr>
      <w:r>
        <w:rPr>
          <w:rFonts w:ascii="Calibri" w:hAnsi="Calibri"/>
          <w:sz w:val="22"/>
          <w:szCs w:val="22"/>
        </w:rPr>
        <w:br w:type="page"/>
      </w:r>
      <w:r w:rsidR="00AC5E73" w:rsidRPr="00F46291">
        <w:rPr>
          <w:rFonts w:ascii="Calibri" w:hAnsi="Calibri"/>
          <w:sz w:val="22"/>
          <w:szCs w:val="22"/>
        </w:rPr>
        <w:lastRenderedPageBreak/>
        <w:t xml:space="preserve">14. </w:t>
      </w:r>
      <w:r w:rsidR="00AC5E73" w:rsidRPr="00F46291">
        <w:rPr>
          <w:rFonts w:ascii="Calibri" w:hAnsi="Calibri"/>
          <w:b/>
          <w:sz w:val="22"/>
          <w:szCs w:val="22"/>
        </w:rPr>
        <w:t>[Para. 7-b-14]</w:t>
      </w:r>
      <w:r w:rsidR="00AC5E73" w:rsidRPr="00F46291">
        <w:rPr>
          <w:rFonts w:ascii="Calibri" w:hAnsi="Calibri"/>
          <w:sz w:val="22"/>
          <w:szCs w:val="22"/>
        </w:rPr>
        <w:t xml:space="preserve"> </w:t>
      </w:r>
      <w:r w:rsidR="009B6723" w:rsidRPr="00F46291">
        <w:rPr>
          <w:rFonts w:ascii="Calibri" w:hAnsi="Calibri"/>
          <w:sz w:val="22"/>
          <w:szCs w:val="22"/>
        </w:rPr>
        <w:t>Deposits totaling $7,3</w:t>
      </w:r>
      <w:r w:rsidR="007B3D13" w:rsidRPr="00F46291">
        <w:rPr>
          <w:rFonts w:ascii="Calibri" w:hAnsi="Calibri"/>
          <w:sz w:val="22"/>
          <w:szCs w:val="22"/>
        </w:rPr>
        <w:t>04 were received from new customers.</w:t>
      </w:r>
      <w:r w:rsidR="00C74612" w:rsidRPr="00F46291">
        <w:rPr>
          <w:rFonts w:ascii="Calibri" w:hAnsi="Calibri"/>
          <w:sz w:val="22"/>
          <w:szCs w:val="22"/>
        </w:rPr>
        <w:t xml:space="preserve"> (Cash is restricted).  Record the liability. </w:t>
      </w:r>
    </w:p>
    <w:p w14:paraId="19A3A701" w14:textId="7F8741C2" w:rsidR="004E7DD4" w:rsidRDefault="004E7DD4" w:rsidP="00EC0271">
      <w:pPr>
        <w:widowControl w:val="0"/>
        <w:autoSpaceDE w:val="0"/>
        <w:autoSpaceDN w:val="0"/>
        <w:adjustRightInd w:val="0"/>
        <w:ind w:left="630" w:hanging="360"/>
        <w:jc w:val="both"/>
        <w:rPr>
          <w:rFonts w:ascii="Calibri" w:hAnsi="Calibri"/>
          <w:sz w:val="22"/>
          <w:szCs w:val="22"/>
        </w:rPr>
      </w:pPr>
    </w:p>
    <w:p w14:paraId="02F2B41B" w14:textId="3B444DBF" w:rsidR="004E7DD4" w:rsidRPr="00F46291" w:rsidRDefault="00686D87" w:rsidP="00EC0271">
      <w:pPr>
        <w:widowControl w:val="0"/>
        <w:autoSpaceDE w:val="0"/>
        <w:autoSpaceDN w:val="0"/>
        <w:adjustRightInd w:val="0"/>
        <w:ind w:left="630" w:hanging="360"/>
        <w:jc w:val="both"/>
        <w:rPr>
          <w:rFonts w:ascii="Calibri" w:hAnsi="Calibri"/>
          <w:sz w:val="22"/>
          <w:szCs w:val="22"/>
        </w:rPr>
      </w:pPr>
      <w:r w:rsidRPr="008D7B56">
        <w:rPr>
          <w:noProof/>
          <w:lang w:eastAsia="en-US"/>
        </w:rPr>
        <w:drawing>
          <wp:inline distT="0" distB="0" distL="0" distR="0" wp14:anchorId="7122D04F" wp14:editId="4F318EE9">
            <wp:extent cx="5494020" cy="27813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4020" cy="278130"/>
                    </a:xfrm>
                    <a:prstGeom prst="rect">
                      <a:avLst/>
                    </a:prstGeom>
                    <a:noFill/>
                    <a:ln>
                      <a:noFill/>
                    </a:ln>
                  </pic:spPr>
                </pic:pic>
              </a:graphicData>
            </a:graphic>
          </wp:inline>
        </w:drawing>
      </w:r>
    </w:p>
    <w:p w14:paraId="374F6F86"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7D76426A" w14:textId="5EDB4F7D" w:rsidR="007B3D13" w:rsidRDefault="00AC5E73" w:rsidP="00EC0271">
      <w:pPr>
        <w:widowControl w:val="0"/>
        <w:autoSpaceDE w:val="0"/>
        <w:autoSpaceDN w:val="0"/>
        <w:adjustRightInd w:val="0"/>
        <w:ind w:left="630" w:hanging="360"/>
        <w:jc w:val="both"/>
        <w:rPr>
          <w:rFonts w:ascii="Calibri" w:hAnsi="Calibri"/>
          <w:sz w:val="22"/>
          <w:szCs w:val="22"/>
        </w:rPr>
      </w:pPr>
      <w:r w:rsidRPr="00F46291">
        <w:rPr>
          <w:rFonts w:ascii="Calibri" w:hAnsi="Calibri"/>
          <w:sz w:val="22"/>
          <w:szCs w:val="22"/>
        </w:rPr>
        <w:t>15</w:t>
      </w:r>
      <w:r w:rsidR="007B3D13" w:rsidRPr="00F46291">
        <w:rPr>
          <w:rFonts w:ascii="Calibri" w:hAnsi="Calibri"/>
          <w:sz w:val="22"/>
          <w:szCs w:val="22"/>
        </w:rPr>
        <w:t xml:space="preserve">. </w:t>
      </w:r>
      <w:r w:rsidRPr="00F46291">
        <w:rPr>
          <w:rFonts w:ascii="Calibri" w:hAnsi="Calibri"/>
          <w:b/>
          <w:sz w:val="22"/>
          <w:szCs w:val="22"/>
        </w:rPr>
        <w:t>[Para. 7-b-15</w:t>
      </w:r>
      <w:r w:rsidR="007B3D13" w:rsidRPr="00F46291">
        <w:rPr>
          <w:rFonts w:ascii="Calibri" w:hAnsi="Calibri"/>
          <w:b/>
          <w:sz w:val="22"/>
          <w:szCs w:val="22"/>
        </w:rPr>
        <w:t>]</w:t>
      </w:r>
      <w:r w:rsidR="007B3D13" w:rsidRPr="00F46291">
        <w:rPr>
          <w:rFonts w:ascii="Calibri" w:hAnsi="Calibri"/>
          <w:sz w:val="22"/>
          <w:szCs w:val="22"/>
        </w:rPr>
        <w:t xml:space="preserve"> Vouchers Payable paid </w:t>
      </w:r>
      <w:r w:rsidR="009B6723" w:rsidRPr="00F46291">
        <w:rPr>
          <w:rFonts w:ascii="Calibri" w:hAnsi="Calibri"/>
          <w:sz w:val="22"/>
          <w:szCs w:val="22"/>
        </w:rPr>
        <w:t>during the year amounted to $343,6</w:t>
      </w:r>
      <w:r w:rsidR="007B3D13" w:rsidRPr="00F46291">
        <w:rPr>
          <w:rFonts w:ascii="Calibri" w:hAnsi="Calibri"/>
          <w:sz w:val="22"/>
          <w:szCs w:val="22"/>
        </w:rPr>
        <w:t>00 for operating supplies and $166,000 for materials used in construction</w:t>
      </w:r>
      <w:r w:rsidR="009B6723" w:rsidRPr="00F46291">
        <w:rPr>
          <w:rFonts w:ascii="Calibri" w:hAnsi="Calibri"/>
          <w:sz w:val="22"/>
          <w:szCs w:val="22"/>
        </w:rPr>
        <w:t>, or $509,6</w:t>
      </w:r>
      <w:r w:rsidR="007B3D13" w:rsidRPr="00F46291">
        <w:rPr>
          <w:rFonts w:ascii="Calibri" w:hAnsi="Calibri"/>
          <w:sz w:val="22"/>
          <w:szCs w:val="22"/>
        </w:rPr>
        <w:t>00 in total.</w:t>
      </w:r>
      <w:r w:rsidR="00C74612" w:rsidRPr="00F46291">
        <w:rPr>
          <w:rFonts w:ascii="Calibri" w:hAnsi="Calibri"/>
          <w:sz w:val="22"/>
          <w:szCs w:val="22"/>
        </w:rPr>
        <w:t xml:space="preserve"> Decrease the vouchers payable liability and record the payment. </w:t>
      </w:r>
    </w:p>
    <w:p w14:paraId="1E855CEF" w14:textId="77777777" w:rsidR="00680553" w:rsidRPr="00F46291" w:rsidRDefault="00680553" w:rsidP="00EC0271">
      <w:pPr>
        <w:widowControl w:val="0"/>
        <w:autoSpaceDE w:val="0"/>
        <w:autoSpaceDN w:val="0"/>
        <w:adjustRightInd w:val="0"/>
        <w:ind w:left="630" w:hanging="360"/>
        <w:jc w:val="both"/>
        <w:rPr>
          <w:rFonts w:ascii="Calibri" w:hAnsi="Calibri"/>
          <w:sz w:val="22"/>
          <w:szCs w:val="22"/>
        </w:rPr>
      </w:pPr>
    </w:p>
    <w:p w14:paraId="3CDEDB70" w14:textId="6D1C89E2" w:rsidR="007B3D1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2839FF30" wp14:editId="10E99C44">
            <wp:extent cx="5486400" cy="292735"/>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92735"/>
                    </a:xfrm>
                    <a:prstGeom prst="rect">
                      <a:avLst/>
                    </a:prstGeom>
                    <a:noFill/>
                    <a:ln>
                      <a:noFill/>
                    </a:ln>
                  </pic:spPr>
                </pic:pic>
              </a:graphicData>
            </a:graphic>
          </wp:inline>
        </w:drawing>
      </w:r>
    </w:p>
    <w:p w14:paraId="39F0BE54" w14:textId="77777777" w:rsidR="00680553" w:rsidRPr="00F46291" w:rsidRDefault="00680553" w:rsidP="00EC0271">
      <w:pPr>
        <w:widowControl w:val="0"/>
        <w:autoSpaceDE w:val="0"/>
        <w:autoSpaceDN w:val="0"/>
        <w:adjustRightInd w:val="0"/>
        <w:ind w:left="630" w:hanging="270"/>
        <w:jc w:val="both"/>
        <w:rPr>
          <w:rFonts w:ascii="Calibri" w:hAnsi="Calibri"/>
          <w:sz w:val="22"/>
          <w:szCs w:val="22"/>
        </w:rPr>
      </w:pPr>
    </w:p>
    <w:p w14:paraId="4C952623" w14:textId="77779234" w:rsidR="007B3D13" w:rsidRDefault="00AC5E73" w:rsidP="00EC0271">
      <w:pPr>
        <w:widowControl w:val="0"/>
        <w:autoSpaceDE w:val="0"/>
        <w:autoSpaceDN w:val="0"/>
        <w:adjustRightInd w:val="0"/>
        <w:ind w:left="630" w:hanging="360"/>
        <w:jc w:val="both"/>
        <w:rPr>
          <w:rFonts w:ascii="Calibri" w:hAnsi="Calibri"/>
          <w:sz w:val="22"/>
          <w:szCs w:val="22"/>
        </w:rPr>
      </w:pPr>
      <w:r w:rsidRPr="00F46291">
        <w:rPr>
          <w:rFonts w:ascii="Calibri" w:hAnsi="Calibri"/>
          <w:sz w:val="22"/>
          <w:szCs w:val="22"/>
        </w:rPr>
        <w:t>16</w:t>
      </w:r>
      <w:r w:rsidR="007B3D13" w:rsidRPr="00F46291">
        <w:rPr>
          <w:rFonts w:ascii="Calibri" w:hAnsi="Calibri"/>
          <w:sz w:val="22"/>
          <w:szCs w:val="22"/>
        </w:rPr>
        <w:t xml:space="preserve">. </w:t>
      </w:r>
      <w:r w:rsidR="007B3D13" w:rsidRPr="00F46291">
        <w:rPr>
          <w:rFonts w:ascii="Calibri" w:hAnsi="Calibri"/>
          <w:b/>
          <w:sz w:val="22"/>
          <w:szCs w:val="22"/>
        </w:rPr>
        <w:t>[Para. 7-b-1</w:t>
      </w:r>
      <w:r w:rsidRPr="00F46291">
        <w:rPr>
          <w:rFonts w:ascii="Calibri" w:hAnsi="Calibri"/>
          <w:b/>
          <w:sz w:val="22"/>
          <w:szCs w:val="22"/>
        </w:rPr>
        <w:t>6</w:t>
      </w:r>
      <w:r w:rsidR="007B3D13" w:rsidRPr="00F46291">
        <w:rPr>
          <w:rFonts w:ascii="Calibri" w:hAnsi="Calibri"/>
          <w:b/>
          <w:sz w:val="22"/>
          <w:szCs w:val="22"/>
        </w:rPr>
        <w:t>]</w:t>
      </w:r>
      <w:r w:rsidR="007B3D13" w:rsidRPr="00F46291">
        <w:rPr>
          <w:rFonts w:ascii="Calibri" w:hAnsi="Calibri"/>
          <w:sz w:val="22"/>
          <w:szCs w:val="22"/>
        </w:rPr>
        <w:t xml:space="preserve"> Interest paid on customer deposits amounted </w:t>
      </w:r>
      <w:r w:rsidR="009B6723" w:rsidRPr="00F46291">
        <w:rPr>
          <w:rFonts w:ascii="Calibri" w:hAnsi="Calibri"/>
          <w:sz w:val="22"/>
          <w:szCs w:val="22"/>
        </w:rPr>
        <w:t>to $2,154</w:t>
      </w:r>
      <w:r w:rsidR="007B3D13" w:rsidRPr="00F46291">
        <w:rPr>
          <w:rFonts w:ascii="Calibri" w:hAnsi="Calibri"/>
          <w:sz w:val="22"/>
          <w:szCs w:val="22"/>
        </w:rPr>
        <w:t xml:space="preserve"> (charge Operation Expense</w:t>
      </w:r>
      <w:r w:rsidR="00C74612" w:rsidRPr="00F46291">
        <w:rPr>
          <w:rFonts w:ascii="Calibri" w:hAnsi="Calibri"/>
          <w:sz w:val="22"/>
          <w:szCs w:val="22"/>
        </w:rPr>
        <w:t xml:space="preserve"> </w:t>
      </w:r>
      <w:r w:rsidR="000F1394" w:rsidRPr="00F46291">
        <w:rPr>
          <w:rFonts w:ascii="Calibri" w:hAnsi="Calibri"/>
          <w:sz w:val="22"/>
          <w:szCs w:val="22"/>
        </w:rPr>
        <w:t xml:space="preserve">for </w:t>
      </w:r>
      <w:r w:rsidR="00C74612" w:rsidRPr="00F46291">
        <w:rPr>
          <w:rFonts w:ascii="Calibri" w:hAnsi="Calibri"/>
          <w:sz w:val="22"/>
          <w:szCs w:val="22"/>
        </w:rPr>
        <w:t>the interest</w:t>
      </w:r>
      <w:r w:rsidR="007B3D13" w:rsidRPr="00F46291">
        <w:rPr>
          <w:rFonts w:ascii="Calibri" w:hAnsi="Calibri"/>
          <w:sz w:val="22"/>
          <w:szCs w:val="22"/>
        </w:rPr>
        <w:t xml:space="preserve">). </w:t>
      </w:r>
      <w:r w:rsidR="007A1380" w:rsidRPr="00F46291">
        <w:rPr>
          <w:rFonts w:ascii="Calibri" w:hAnsi="Calibri"/>
          <w:sz w:val="22"/>
          <w:szCs w:val="22"/>
        </w:rPr>
        <w:t xml:space="preserve">This interest will increase </w:t>
      </w:r>
      <w:r w:rsidR="007B3D13" w:rsidRPr="00F46291">
        <w:rPr>
          <w:rFonts w:ascii="Calibri" w:hAnsi="Calibri"/>
          <w:sz w:val="22"/>
          <w:szCs w:val="22"/>
        </w:rPr>
        <w:t xml:space="preserve">the </w:t>
      </w:r>
      <w:r w:rsidR="00C74612" w:rsidRPr="00F46291">
        <w:rPr>
          <w:rFonts w:ascii="Calibri" w:hAnsi="Calibri"/>
          <w:sz w:val="22"/>
          <w:szCs w:val="22"/>
        </w:rPr>
        <w:t>liability</w:t>
      </w:r>
      <w:r w:rsidR="007A1380" w:rsidRPr="00F46291">
        <w:rPr>
          <w:rFonts w:ascii="Calibri" w:hAnsi="Calibri"/>
          <w:sz w:val="22"/>
          <w:szCs w:val="22"/>
        </w:rPr>
        <w:t xml:space="preserve"> the utility has</w:t>
      </w:r>
      <w:r w:rsidR="00C74612" w:rsidRPr="00F46291">
        <w:rPr>
          <w:rFonts w:ascii="Calibri" w:hAnsi="Calibri"/>
          <w:sz w:val="22"/>
          <w:szCs w:val="22"/>
        </w:rPr>
        <w:t xml:space="preserve"> for </w:t>
      </w:r>
      <w:r w:rsidR="00914EEE" w:rsidRPr="00F46291">
        <w:rPr>
          <w:rFonts w:ascii="Calibri" w:hAnsi="Calibri"/>
          <w:sz w:val="22"/>
          <w:szCs w:val="22"/>
        </w:rPr>
        <w:t>customer deposits</w:t>
      </w:r>
      <w:r w:rsidR="000F1394" w:rsidRPr="00F46291">
        <w:rPr>
          <w:rFonts w:ascii="Calibri" w:hAnsi="Calibri"/>
          <w:sz w:val="22"/>
          <w:szCs w:val="22"/>
        </w:rPr>
        <w:t xml:space="preserve">. </w:t>
      </w:r>
      <w:r w:rsidR="00680553">
        <w:rPr>
          <w:rFonts w:ascii="Calibri" w:hAnsi="Calibri"/>
          <w:sz w:val="22"/>
          <w:szCs w:val="22"/>
        </w:rPr>
        <w:t xml:space="preserve">What account will be affected? </w:t>
      </w:r>
      <w:r w:rsidR="000F1394" w:rsidRPr="00F46291">
        <w:rPr>
          <w:rFonts w:ascii="Calibri" w:hAnsi="Calibri"/>
          <w:sz w:val="22"/>
          <w:szCs w:val="22"/>
        </w:rPr>
        <w:t>T</w:t>
      </w:r>
      <w:r w:rsidR="008F1B38" w:rsidRPr="00F46291">
        <w:rPr>
          <w:rFonts w:ascii="Calibri" w:hAnsi="Calibri"/>
          <w:sz w:val="22"/>
          <w:szCs w:val="22"/>
        </w:rPr>
        <w:t>he restricted cash</w:t>
      </w:r>
      <w:r w:rsidR="000F1394" w:rsidRPr="00F46291">
        <w:rPr>
          <w:rFonts w:ascii="Calibri" w:hAnsi="Calibri"/>
          <w:sz w:val="22"/>
          <w:szCs w:val="22"/>
        </w:rPr>
        <w:t xml:space="preserve"> for customer deposits</w:t>
      </w:r>
      <w:r w:rsidR="00C46E81" w:rsidRPr="00F46291">
        <w:rPr>
          <w:rFonts w:ascii="Calibri" w:hAnsi="Calibri"/>
          <w:sz w:val="22"/>
          <w:szCs w:val="22"/>
        </w:rPr>
        <w:t xml:space="preserve"> will be affected as well as </w:t>
      </w:r>
      <w:r w:rsidR="00914EEE" w:rsidRPr="00F46291">
        <w:rPr>
          <w:rFonts w:ascii="Calibri" w:hAnsi="Calibri"/>
          <w:sz w:val="22"/>
          <w:szCs w:val="22"/>
        </w:rPr>
        <w:t xml:space="preserve">cash </w:t>
      </w:r>
      <w:r w:rsidR="00C7260A" w:rsidRPr="00F46291">
        <w:rPr>
          <w:rFonts w:ascii="Calibri" w:hAnsi="Calibri"/>
          <w:sz w:val="22"/>
          <w:szCs w:val="22"/>
        </w:rPr>
        <w:t>for this payment</w:t>
      </w:r>
      <w:r w:rsidR="007B3D13" w:rsidRPr="00F46291">
        <w:rPr>
          <w:rFonts w:ascii="Calibri" w:hAnsi="Calibri"/>
          <w:sz w:val="22"/>
          <w:szCs w:val="22"/>
        </w:rPr>
        <w:t xml:space="preserve">. </w:t>
      </w:r>
      <w:r w:rsidR="00680553">
        <w:rPr>
          <w:rFonts w:ascii="Calibri" w:hAnsi="Calibri"/>
          <w:sz w:val="22"/>
          <w:szCs w:val="22"/>
        </w:rPr>
        <w:t xml:space="preserve">Which should be debited and which should be credited. </w:t>
      </w:r>
    </w:p>
    <w:p w14:paraId="5C496A1B" w14:textId="3AF81992" w:rsidR="00680553" w:rsidRDefault="00680553" w:rsidP="00EC0271">
      <w:pPr>
        <w:widowControl w:val="0"/>
        <w:autoSpaceDE w:val="0"/>
        <w:autoSpaceDN w:val="0"/>
        <w:adjustRightInd w:val="0"/>
        <w:ind w:left="630" w:hanging="360"/>
        <w:jc w:val="both"/>
        <w:rPr>
          <w:rFonts w:ascii="Calibri" w:hAnsi="Calibri"/>
          <w:sz w:val="22"/>
          <w:szCs w:val="22"/>
        </w:rPr>
      </w:pPr>
    </w:p>
    <w:p w14:paraId="5AF9C3E3" w14:textId="11819015" w:rsidR="00680553" w:rsidRPr="00F46291" w:rsidRDefault="00686D87" w:rsidP="00EC0271">
      <w:pPr>
        <w:widowControl w:val="0"/>
        <w:autoSpaceDE w:val="0"/>
        <w:autoSpaceDN w:val="0"/>
        <w:adjustRightInd w:val="0"/>
        <w:ind w:left="630" w:hanging="360"/>
        <w:jc w:val="both"/>
        <w:rPr>
          <w:rFonts w:ascii="Calibri" w:hAnsi="Calibri"/>
          <w:sz w:val="22"/>
          <w:szCs w:val="22"/>
        </w:rPr>
      </w:pPr>
      <w:r w:rsidRPr="008D7B56">
        <w:rPr>
          <w:noProof/>
          <w:lang w:eastAsia="en-US"/>
        </w:rPr>
        <w:drawing>
          <wp:inline distT="0" distB="0" distL="0" distR="0" wp14:anchorId="1C7129B7" wp14:editId="783B2EDB">
            <wp:extent cx="5486400" cy="570865"/>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70865"/>
                    </a:xfrm>
                    <a:prstGeom prst="rect">
                      <a:avLst/>
                    </a:prstGeom>
                    <a:noFill/>
                    <a:ln>
                      <a:noFill/>
                    </a:ln>
                  </pic:spPr>
                </pic:pic>
              </a:graphicData>
            </a:graphic>
          </wp:inline>
        </w:drawing>
      </w:r>
    </w:p>
    <w:p w14:paraId="10E4ED60" w14:textId="77777777" w:rsidR="007B3D13" w:rsidRPr="00F46291" w:rsidRDefault="007B3D13" w:rsidP="00EC0271">
      <w:pPr>
        <w:widowControl w:val="0"/>
        <w:autoSpaceDE w:val="0"/>
        <w:autoSpaceDN w:val="0"/>
        <w:adjustRightInd w:val="0"/>
        <w:ind w:left="630" w:hanging="270"/>
        <w:jc w:val="both"/>
        <w:rPr>
          <w:rFonts w:ascii="Calibri" w:hAnsi="Calibri"/>
          <w:sz w:val="22"/>
          <w:szCs w:val="22"/>
        </w:rPr>
      </w:pPr>
    </w:p>
    <w:p w14:paraId="619D6C52" w14:textId="7DFEFEA6" w:rsidR="00353948" w:rsidRPr="00F46291" w:rsidRDefault="00AC5E73" w:rsidP="00EC0271">
      <w:pPr>
        <w:widowControl w:val="0"/>
        <w:autoSpaceDE w:val="0"/>
        <w:autoSpaceDN w:val="0"/>
        <w:adjustRightInd w:val="0"/>
        <w:ind w:left="630" w:hanging="360"/>
        <w:jc w:val="both"/>
        <w:rPr>
          <w:rFonts w:ascii="Calibri" w:hAnsi="Calibri"/>
          <w:b/>
          <w:sz w:val="22"/>
          <w:szCs w:val="22"/>
        </w:rPr>
      </w:pPr>
      <w:r w:rsidRPr="00F46291">
        <w:rPr>
          <w:rFonts w:ascii="Calibri" w:hAnsi="Calibri"/>
          <w:sz w:val="22"/>
          <w:szCs w:val="22"/>
        </w:rPr>
        <w:t>17</w:t>
      </w:r>
      <w:r w:rsidR="007B3D13" w:rsidRPr="00F46291">
        <w:rPr>
          <w:rFonts w:ascii="Calibri" w:hAnsi="Calibri"/>
          <w:sz w:val="22"/>
          <w:szCs w:val="22"/>
        </w:rPr>
        <w:t xml:space="preserve">. </w:t>
      </w:r>
      <w:r w:rsidR="00353948" w:rsidRPr="00F46291">
        <w:rPr>
          <w:rFonts w:ascii="Calibri" w:hAnsi="Calibri"/>
          <w:b/>
          <w:sz w:val="22"/>
          <w:szCs w:val="22"/>
        </w:rPr>
        <w:t>Adjusting entries</w:t>
      </w:r>
    </w:p>
    <w:p w14:paraId="777AD83B" w14:textId="77777777" w:rsidR="00353948" w:rsidRPr="00F46291" w:rsidRDefault="00353948" w:rsidP="00EC0271">
      <w:pPr>
        <w:widowControl w:val="0"/>
        <w:autoSpaceDE w:val="0"/>
        <w:autoSpaceDN w:val="0"/>
        <w:adjustRightInd w:val="0"/>
        <w:ind w:left="630" w:hanging="360"/>
        <w:jc w:val="both"/>
        <w:rPr>
          <w:rFonts w:ascii="Calibri" w:hAnsi="Calibri"/>
          <w:b/>
          <w:sz w:val="22"/>
          <w:szCs w:val="22"/>
        </w:rPr>
      </w:pPr>
    </w:p>
    <w:p w14:paraId="39733B7D" w14:textId="17187CBE" w:rsidR="008C6B25" w:rsidRPr="00F46291" w:rsidRDefault="007B3D13" w:rsidP="00353948">
      <w:pPr>
        <w:widowControl w:val="0"/>
        <w:autoSpaceDE w:val="0"/>
        <w:autoSpaceDN w:val="0"/>
        <w:adjustRightInd w:val="0"/>
        <w:ind w:left="630"/>
        <w:jc w:val="both"/>
        <w:rPr>
          <w:rFonts w:ascii="Calibri" w:hAnsi="Calibri"/>
          <w:sz w:val="22"/>
          <w:szCs w:val="22"/>
        </w:rPr>
      </w:pPr>
      <w:r w:rsidRPr="00F46291">
        <w:rPr>
          <w:rFonts w:ascii="Calibri" w:hAnsi="Calibri"/>
          <w:b/>
          <w:sz w:val="22"/>
          <w:szCs w:val="22"/>
        </w:rPr>
        <w:t>[Para. 7-b-1</w:t>
      </w:r>
      <w:r w:rsidR="00AC5E73" w:rsidRPr="00F46291">
        <w:rPr>
          <w:rFonts w:ascii="Calibri" w:hAnsi="Calibri"/>
          <w:b/>
          <w:sz w:val="22"/>
          <w:szCs w:val="22"/>
        </w:rPr>
        <w:t>7</w:t>
      </w:r>
      <w:r w:rsidR="008C6B25" w:rsidRPr="00F46291">
        <w:rPr>
          <w:rFonts w:ascii="Calibri" w:hAnsi="Calibri"/>
          <w:b/>
          <w:sz w:val="22"/>
          <w:szCs w:val="22"/>
        </w:rPr>
        <w:t>a</w:t>
      </w:r>
      <w:r w:rsidRPr="00F46291">
        <w:rPr>
          <w:rFonts w:ascii="Calibri" w:hAnsi="Calibri"/>
          <w:b/>
          <w:sz w:val="22"/>
          <w:szCs w:val="22"/>
        </w:rPr>
        <w:t xml:space="preserve">] </w:t>
      </w:r>
      <w:r w:rsidRPr="00F46291">
        <w:rPr>
          <w:rFonts w:ascii="Calibri" w:hAnsi="Calibri"/>
          <w:sz w:val="22"/>
          <w:szCs w:val="22"/>
        </w:rPr>
        <w:t>Depreciation on utility plant was calculated using a straight-line rate of 2 percent</w:t>
      </w:r>
      <w:r w:rsidR="004502D1" w:rsidRPr="00F46291">
        <w:rPr>
          <w:rFonts w:ascii="Calibri" w:hAnsi="Calibri"/>
          <w:sz w:val="22"/>
          <w:szCs w:val="22"/>
        </w:rPr>
        <w:t xml:space="preserve"> of the beginning gross balance.  The amount so calculated yields $418,009 in depreciation. </w:t>
      </w:r>
    </w:p>
    <w:p w14:paraId="2DD66AB8" w14:textId="77777777" w:rsidR="00864342" w:rsidRDefault="00864342" w:rsidP="00EC0271">
      <w:pPr>
        <w:widowControl w:val="0"/>
        <w:autoSpaceDE w:val="0"/>
        <w:autoSpaceDN w:val="0"/>
        <w:adjustRightInd w:val="0"/>
        <w:ind w:left="630" w:hanging="360"/>
        <w:jc w:val="both"/>
        <w:rPr>
          <w:noProof/>
          <w:lang w:eastAsia="en-US"/>
        </w:rPr>
      </w:pPr>
    </w:p>
    <w:p w14:paraId="3D179C0B" w14:textId="2040AAE7" w:rsidR="00CC4263" w:rsidRDefault="00686D87" w:rsidP="00EC0271">
      <w:pPr>
        <w:widowControl w:val="0"/>
        <w:autoSpaceDE w:val="0"/>
        <w:autoSpaceDN w:val="0"/>
        <w:adjustRightInd w:val="0"/>
        <w:ind w:left="630" w:hanging="360"/>
        <w:jc w:val="both"/>
        <w:rPr>
          <w:noProof/>
          <w:lang w:eastAsia="en-US"/>
        </w:rPr>
      </w:pPr>
      <w:r w:rsidRPr="008D7B56">
        <w:rPr>
          <w:noProof/>
          <w:lang w:eastAsia="en-US"/>
        </w:rPr>
        <w:drawing>
          <wp:inline distT="0" distB="0" distL="0" distR="0" wp14:anchorId="47B9F0A7" wp14:editId="6CE820D6">
            <wp:extent cx="5486400" cy="27051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70510"/>
                    </a:xfrm>
                    <a:prstGeom prst="rect">
                      <a:avLst/>
                    </a:prstGeom>
                    <a:noFill/>
                    <a:ln>
                      <a:noFill/>
                    </a:ln>
                  </pic:spPr>
                </pic:pic>
              </a:graphicData>
            </a:graphic>
          </wp:inline>
        </w:drawing>
      </w:r>
    </w:p>
    <w:p w14:paraId="16E68F80" w14:textId="77777777" w:rsidR="00864342" w:rsidRPr="00F46291" w:rsidRDefault="00864342" w:rsidP="00EC0271">
      <w:pPr>
        <w:widowControl w:val="0"/>
        <w:autoSpaceDE w:val="0"/>
        <w:autoSpaceDN w:val="0"/>
        <w:adjustRightInd w:val="0"/>
        <w:ind w:left="630" w:hanging="360"/>
        <w:jc w:val="both"/>
        <w:rPr>
          <w:rFonts w:ascii="Calibri" w:hAnsi="Calibri"/>
          <w:sz w:val="22"/>
          <w:szCs w:val="22"/>
        </w:rPr>
      </w:pPr>
    </w:p>
    <w:p w14:paraId="14BE0C6B" w14:textId="05A4E41F" w:rsidR="008C6B25" w:rsidRDefault="008C6B25" w:rsidP="00EC0271">
      <w:pPr>
        <w:widowControl w:val="0"/>
        <w:autoSpaceDE w:val="0"/>
        <w:autoSpaceDN w:val="0"/>
        <w:adjustRightInd w:val="0"/>
        <w:ind w:left="630"/>
        <w:jc w:val="both"/>
        <w:rPr>
          <w:rFonts w:ascii="Calibri" w:hAnsi="Calibri"/>
          <w:sz w:val="22"/>
          <w:szCs w:val="22"/>
        </w:rPr>
      </w:pPr>
      <w:r w:rsidRPr="00F46291">
        <w:rPr>
          <w:rFonts w:ascii="Calibri" w:hAnsi="Calibri"/>
          <w:b/>
          <w:sz w:val="22"/>
          <w:szCs w:val="22"/>
        </w:rPr>
        <w:t xml:space="preserve">[Para. 7-b-17b] </w:t>
      </w:r>
      <w:r w:rsidR="007B3D13" w:rsidRPr="00F46291">
        <w:rPr>
          <w:rFonts w:ascii="Calibri" w:hAnsi="Calibri"/>
          <w:sz w:val="22"/>
          <w:szCs w:val="22"/>
        </w:rPr>
        <w:t xml:space="preserve">The </w:t>
      </w:r>
      <w:r w:rsidR="007B3D13" w:rsidRPr="00F46291">
        <w:rPr>
          <w:rFonts w:ascii="Calibri" w:hAnsi="Calibri"/>
          <w:b/>
          <w:sz w:val="22"/>
          <w:szCs w:val="22"/>
        </w:rPr>
        <w:t>Accumulated Provision for Uncollectible Accounts</w:t>
      </w:r>
      <w:r w:rsidR="007B3D13" w:rsidRPr="00F46291">
        <w:rPr>
          <w:rFonts w:ascii="Calibri" w:hAnsi="Calibri"/>
          <w:sz w:val="22"/>
          <w:szCs w:val="22"/>
        </w:rPr>
        <w:t xml:space="preserve"> should equal $5,820 at year-end. </w:t>
      </w:r>
      <w:r w:rsidR="009777E2" w:rsidRPr="00F46291">
        <w:rPr>
          <w:rFonts w:ascii="Calibri" w:hAnsi="Calibri"/>
          <w:sz w:val="22"/>
          <w:szCs w:val="22"/>
        </w:rPr>
        <w:t xml:space="preserve"> Ma</w:t>
      </w:r>
      <w:r w:rsidR="0060444F" w:rsidRPr="00F46291">
        <w:rPr>
          <w:rFonts w:ascii="Calibri" w:hAnsi="Calibri"/>
          <w:sz w:val="22"/>
          <w:szCs w:val="22"/>
        </w:rPr>
        <w:t>ke</w:t>
      </w:r>
      <w:r w:rsidR="00353948" w:rsidRPr="00F46291">
        <w:rPr>
          <w:rFonts w:ascii="Calibri" w:hAnsi="Calibri"/>
          <w:sz w:val="22"/>
          <w:szCs w:val="22"/>
        </w:rPr>
        <w:t xml:space="preserve"> the adjusting journal entry and debit</w:t>
      </w:r>
      <w:r w:rsidR="0060444F" w:rsidRPr="00F46291">
        <w:rPr>
          <w:rFonts w:ascii="Calibri" w:hAnsi="Calibri"/>
          <w:sz w:val="22"/>
          <w:szCs w:val="22"/>
        </w:rPr>
        <w:t xml:space="preserve"> Uncollectible Accounts</w:t>
      </w:r>
      <w:r w:rsidR="002F34AF" w:rsidRPr="00F46291">
        <w:rPr>
          <w:rFonts w:ascii="Calibri" w:hAnsi="Calibri"/>
          <w:sz w:val="22"/>
          <w:szCs w:val="22"/>
        </w:rPr>
        <w:t xml:space="preserve"> (essentially bad debts expense for the utility)</w:t>
      </w:r>
      <w:r w:rsidR="0060444F" w:rsidRPr="00F46291">
        <w:rPr>
          <w:rFonts w:ascii="Calibri" w:hAnsi="Calibri"/>
          <w:sz w:val="22"/>
          <w:szCs w:val="22"/>
        </w:rPr>
        <w:t xml:space="preserve">. </w:t>
      </w:r>
    </w:p>
    <w:p w14:paraId="21D0288B" w14:textId="77777777" w:rsidR="00864342" w:rsidRPr="00F46291" w:rsidRDefault="00864342" w:rsidP="00EC0271">
      <w:pPr>
        <w:widowControl w:val="0"/>
        <w:autoSpaceDE w:val="0"/>
        <w:autoSpaceDN w:val="0"/>
        <w:adjustRightInd w:val="0"/>
        <w:ind w:left="630"/>
        <w:jc w:val="both"/>
        <w:rPr>
          <w:rFonts w:ascii="Calibri" w:hAnsi="Calibri"/>
          <w:sz w:val="22"/>
          <w:szCs w:val="22"/>
        </w:rPr>
      </w:pPr>
    </w:p>
    <w:p w14:paraId="59EF2ED3" w14:textId="19E2B3D3" w:rsidR="008C6B25"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40CA499A" wp14:editId="28FA001A">
            <wp:extent cx="5494020" cy="29972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4020" cy="299720"/>
                    </a:xfrm>
                    <a:prstGeom prst="rect">
                      <a:avLst/>
                    </a:prstGeom>
                    <a:noFill/>
                    <a:ln>
                      <a:noFill/>
                    </a:ln>
                  </pic:spPr>
                </pic:pic>
              </a:graphicData>
            </a:graphic>
          </wp:inline>
        </w:drawing>
      </w:r>
    </w:p>
    <w:p w14:paraId="19FB3C7D" w14:textId="77777777" w:rsidR="00864342" w:rsidRPr="00F46291" w:rsidRDefault="00864342" w:rsidP="00EC0271">
      <w:pPr>
        <w:widowControl w:val="0"/>
        <w:autoSpaceDE w:val="0"/>
        <w:autoSpaceDN w:val="0"/>
        <w:adjustRightInd w:val="0"/>
        <w:ind w:left="630" w:hanging="270"/>
        <w:jc w:val="both"/>
        <w:rPr>
          <w:rFonts w:ascii="Calibri" w:hAnsi="Calibri"/>
          <w:sz w:val="22"/>
          <w:szCs w:val="22"/>
        </w:rPr>
      </w:pPr>
    </w:p>
    <w:p w14:paraId="47E43935" w14:textId="7DF0D377" w:rsidR="007B3D13" w:rsidRDefault="008C6B25" w:rsidP="00EC0271">
      <w:pPr>
        <w:widowControl w:val="0"/>
        <w:autoSpaceDE w:val="0"/>
        <w:autoSpaceDN w:val="0"/>
        <w:adjustRightInd w:val="0"/>
        <w:ind w:left="630"/>
        <w:jc w:val="both"/>
        <w:rPr>
          <w:rFonts w:ascii="Calibri" w:hAnsi="Calibri"/>
          <w:sz w:val="22"/>
          <w:szCs w:val="22"/>
        </w:rPr>
      </w:pPr>
      <w:r w:rsidRPr="00F46291">
        <w:rPr>
          <w:rFonts w:ascii="Calibri" w:hAnsi="Calibri"/>
          <w:b/>
          <w:sz w:val="22"/>
          <w:szCs w:val="22"/>
        </w:rPr>
        <w:t xml:space="preserve">[Para. 7-b-17c] </w:t>
      </w:r>
      <w:r w:rsidR="007B3D13" w:rsidRPr="00F46291">
        <w:rPr>
          <w:rFonts w:ascii="Calibri" w:hAnsi="Calibri"/>
          <w:sz w:val="22"/>
          <w:szCs w:val="22"/>
        </w:rPr>
        <w:t>An adjusting entry for accrual of six months’ interest on bonds payable and amortization of 1/40 of the debt discount using the straight-line basis was recorded.</w:t>
      </w:r>
    </w:p>
    <w:p w14:paraId="1AED7145" w14:textId="77777777" w:rsidR="00E104E5" w:rsidRPr="00F46291" w:rsidRDefault="00E104E5" w:rsidP="00EC0271">
      <w:pPr>
        <w:widowControl w:val="0"/>
        <w:autoSpaceDE w:val="0"/>
        <w:autoSpaceDN w:val="0"/>
        <w:adjustRightInd w:val="0"/>
        <w:ind w:left="630"/>
        <w:jc w:val="both"/>
        <w:rPr>
          <w:rFonts w:ascii="Calibri" w:hAnsi="Calibri"/>
          <w:sz w:val="22"/>
          <w:szCs w:val="22"/>
        </w:rPr>
      </w:pPr>
    </w:p>
    <w:p w14:paraId="197376F4" w14:textId="201DC0CA" w:rsidR="007B3D13" w:rsidRDefault="00686D87" w:rsidP="00EC0271">
      <w:pPr>
        <w:widowControl w:val="0"/>
        <w:autoSpaceDE w:val="0"/>
        <w:autoSpaceDN w:val="0"/>
        <w:adjustRightInd w:val="0"/>
        <w:ind w:left="630" w:hanging="270"/>
        <w:jc w:val="both"/>
        <w:rPr>
          <w:noProof/>
          <w:lang w:eastAsia="en-US"/>
        </w:rPr>
      </w:pPr>
      <w:r w:rsidRPr="008D7B56">
        <w:rPr>
          <w:noProof/>
          <w:lang w:eastAsia="en-US"/>
        </w:rPr>
        <w:drawing>
          <wp:inline distT="0" distB="0" distL="0" distR="0" wp14:anchorId="50105981" wp14:editId="1A5DEB6F">
            <wp:extent cx="5494020" cy="42418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4020" cy="424180"/>
                    </a:xfrm>
                    <a:prstGeom prst="rect">
                      <a:avLst/>
                    </a:prstGeom>
                    <a:noFill/>
                    <a:ln>
                      <a:noFill/>
                    </a:ln>
                  </pic:spPr>
                </pic:pic>
              </a:graphicData>
            </a:graphic>
          </wp:inline>
        </w:drawing>
      </w:r>
    </w:p>
    <w:p w14:paraId="57B089E0" w14:textId="7FF74566" w:rsidR="00E104E5" w:rsidRDefault="00E104E5" w:rsidP="00EC0271">
      <w:pPr>
        <w:widowControl w:val="0"/>
        <w:autoSpaceDE w:val="0"/>
        <w:autoSpaceDN w:val="0"/>
        <w:adjustRightInd w:val="0"/>
        <w:ind w:left="630" w:hanging="270"/>
        <w:jc w:val="both"/>
        <w:rPr>
          <w:rFonts w:ascii="Calibri" w:hAnsi="Calibri"/>
          <w:sz w:val="22"/>
          <w:szCs w:val="22"/>
        </w:rPr>
      </w:pPr>
    </w:p>
    <w:p w14:paraId="4C2E6053" w14:textId="3DC8F91A" w:rsidR="00E104E5" w:rsidRPr="00F46291" w:rsidRDefault="00E104E5" w:rsidP="00EC0271">
      <w:pPr>
        <w:widowControl w:val="0"/>
        <w:autoSpaceDE w:val="0"/>
        <w:autoSpaceDN w:val="0"/>
        <w:adjustRightInd w:val="0"/>
        <w:ind w:left="630" w:hanging="270"/>
        <w:jc w:val="both"/>
        <w:rPr>
          <w:rFonts w:ascii="Calibri" w:hAnsi="Calibri"/>
          <w:sz w:val="22"/>
          <w:szCs w:val="22"/>
        </w:rPr>
      </w:pPr>
      <w:r>
        <w:rPr>
          <w:rFonts w:ascii="Calibri" w:hAnsi="Calibri"/>
          <w:sz w:val="22"/>
          <w:szCs w:val="22"/>
        </w:rPr>
        <w:t xml:space="preserve">The payable should equal the prior year’s amount since interest is paid in equal amounts. </w:t>
      </w:r>
    </w:p>
    <w:p w14:paraId="136F610F" w14:textId="622C8AE5" w:rsidR="007B3D13" w:rsidRPr="00F46291" w:rsidRDefault="002C605D" w:rsidP="00EC0271">
      <w:pPr>
        <w:tabs>
          <w:tab w:val="left" w:pos="900"/>
        </w:tabs>
        <w:jc w:val="both"/>
        <w:rPr>
          <w:rFonts w:ascii="Calibri" w:hAnsi="Calibri"/>
          <w:sz w:val="22"/>
          <w:szCs w:val="22"/>
        </w:rPr>
      </w:pPr>
      <w:r w:rsidRPr="00F46291">
        <w:rPr>
          <w:rFonts w:ascii="Calibri" w:hAnsi="Calibri"/>
          <w:sz w:val="22"/>
          <w:szCs w:val="22"/>
        </w:rPr>
        <w:br w:type="page"/>
      </w:r>
    </w:p>
    <w:p w14:paraId="193558CA" w14:textId="77777777" w:rsidR="003E643B" w:rsidRPr="003E643B" w:rsidRDefault="003E643B" w:rsidP="003E643B">
      <w:pPr>
        <w:numPr>
          <w:ilvl w:val="0"/>
          <w:numId w:val="7"/>
        </w:numPr>
        <w:tabs>
          <w:tab w:val="left" w:pos="900"/>
        </w:tabs>
        <w:jc w:val="both"/>
        <w:rPr>
          <w:rFonts w:ascii="Calibri" w:hAnsi="Calibri"/>
          <w:b/>
          <w:sz w:val="22"/>
          <w:szCs w:val="22"/>
        </w:rPr>
      </w:pPr>
      <w:r w:rsidRPr="003E643B">
        <w:rPr>
          <w:rFonts w:ascii="Calibri" w:hAnsi="Calibri"/>
          <w:b/>
          <w:sz w:val="22"/>
          <w:szCs w:val="22"/>
        </w:rPr>
        <w:lastRenderedPageBreak/>
        <w:t>Closing Entries:</w:t>
      </w:r>
    </w:p>
    <w:p w14:paraId="37854CD1" w14:textId="77777777" w:rsidR="00C4287E" w:rsidRDefault="003E643B" w:rsidP="003E643B">
      <w:pPr>
        <w:tabs>
          <w:tab w:val="left" w:pos="900"/>
        </w:tabs>
        <w:ind w:left="360"/>
        <w:jc w:val="both"/>
        <w:rPr>
          <w:rFonts w:ascii="Calibri" w:hAnsi="Calibri"/>
          <w:sz w:val="22"/>
          <w:szCs w:val="22"/>
        </w:rPr>
      </w:pPr>
      <w:r w:rsidRPr="003E643B">
        <w:rPr>
          <w:rFonts w:ascii="Calibri" w:hAnsi="Calibri"/>
          <w:sz w:val="22"/>
          <w:szCs w:val="22"/>
        </w:rPr>
        <w:t xml:space="preserve">Be sure that the check mark for </w:t>
      </w:r>
      <w:r w:rsidRPr="003E643B">
        <w:rPr>
          <w:rFonts w:ascii="Calibri" w:hAnsi="Calibri"/>
          <w:b/>
          <w:sz w:val="22"/>
          <w:szCs w:val="22"/>
        </w:rPr>
        <w:t>[Closing Entry]</w:t>
      </w:r>
      <w:r w:rsidRPr="003E643B">
        <w:rPr>
          <w:rFonts w:ascii="Calibri" w:hAnsi="Calibri"/>
          <w:sz w:val="22"/>
          <w:szCs w:val="22"/>
        </w:rPr>
        <w:t xml:space="preserve"> is on for each account being closed and that “Closing Entry” appears in the </w:t>
      </w:r>
      <w:r w:rsidRPr="003E643B">
        <w:rPr>
          <w:rFonts w:ascii="Calibri" w:hAnsi="Calibri"/>
          <w:b/>
          <w:sz w:val="22"/>
          <w:szCs w:val="22"/>
        </w:rPr>
        <w:t>[Transaction Description]</w:t>
      </w:r>
      <w:r w:rsidR="00C4287E">
        <w:rPr>
          <w:rFonts w:ascii="Calibri" w:hAnsi="Calibri"/>
          <w:sz w:val="22"/>
          <w:szCs w:val="22"/>
        </w:rPr>
        <w:t xml:space="preserve"> box.</w:t>
      </w:r>
    </w:p>
    <w:p w14:paraId="6B303227" w14:textId="77777777" w:rsidR="00C4287E" w:rsidRDefault="00C4287E" w:rsidP="003E643B">
      <w:pPr>
        <w:tabs>
          <w:tab w:val="left" w:pos="900"/>
        </w:tabs>
        <w:ind w:left="360"/>
        <w:jc w:val="both"/>
        <w:rPr>
          <w:rFonts w:ascii="Calibri" w:hAnsi="Calibri"/>
          <w:sz w:val="22"/>
          <w:szCs w:val="22"/>
        </w:rPr>
      </w:pPr>
    </w:p>
    <w:p w14:paraId="2B0E54A5" w14:textId="11A7BDFC" w:rsidR="002C605D" w:rsidRPr="003E643B" w:rsidRDefault="003E643B" w:rsidP="003E643B">
      <w:pPr>
        <w:tabs>
          <w:tab w:val="left" w:pos="900"/>
        </w:tabs>
        <w:ind w:left="360"/>
        <w:jc w:val="both"/>
        <w:rPr>
          <w:rFonts w:ascii="Calibri" w:hAnsi="Calibri"/>
          <w:sz w:val="22"/>
          <w:szCs w:val="22"/>
        </w:rPr>
      </w:pPr>
      <w:r w:rsidRPr="003E643B">
        <w:rPr>
          <w:rFonts w:ascii="Calibri" w:hAnsi="Calibri"/>
          <w:sz w:val="22"/>
          <w:szCs w:val="22"/>
        </w:rPr>
        <w:t xml:space="preserve">Run a pre-closing trial balance and use it to close the books.  </w:t>
      </w:r>
      <w:r w:rsidR="007B3D13" w:rsidRPr="003E643B">
        <w:rPr>
          <w:rFonts w:ascii="Calibri" w:hAnsi="Calibri"/>
          <w:sz w:val="22"/>
          <w:szCs w:val="22"/>
        </w:rPr>
        <w:t>Prepare entries to close all operating state</w:t>
      </w:r>
      <w:r w:rsidR="009B6723" w:rsidRPr="003E643B">
        <w:rPr>
          <w:rFonts w:ascii="Calibri" w:hAnsi="Calibri"/>
          <w:sz w:val="22"/>
          <w:szCs w:val="22"/>
        </w:rPr>
        <w:t xml:space="preserve">ment accounts </w:t>
      </w:r>
      <w:r w:rsidR="002C605D" w:rsidRPr="003E643B">
        <w:rPr>
          <w:rFonts w:ascii="Calibri" w:hAnsi="Calibri"/>
          <w:sz w:val="22"/>
          <w:szCs w:val="22"/>
        </w:rPr>
        <w:t xml:space="preserve">(Sales and Expenses) </w:t>
      </w:r>
      <w:r w:rsidR="009B6723" w:rsidRPr="003E643B">
        <w:rPr>
          <w:rFonts w:ascii="Calibri" w:hAnsi="Calibri"/>
          <w:sz w:val="22"/>
          <w:szCs w:val="22"/>
        </w:rPr>
        <w:t>at the end of 2017</w:t>
      </w:r>
      <w:r w:rsidR="002C605D" w:rsidRPr="003E643B">
        <w:rPr>
          <w:rFonts w:ascii="Calibri" w:hAnsi="Calibri"/>
          <w:sz w:val="22"/>
          <w:szCs w:val="22"/>
        </w:rPr>
        <w:t xml:space="preserve"> as you would for a for profit entity. </w:t>
      </w:r>
      <w:r w:rsidR="00932256" w:rsidRPr="003E643B">
        <w:rPr>
          <w:rFonts w:ascii="Calibri" w:hAnsi="Calibri"/>
          <w:sz w:val="22"/>
          <w:szCs w:val="22"/>
        </w:rPr>
        <w:t xml:space="preserve"> Any “profit” or “loss” will be recorded in Net Position – Unrestricted. </w:t>
      </w:r>
    </w:p>
    <w:p w14:paraId="53AE58C7" w14:textId="77777777" w:rsidR="003E643B" w:rsidRPr="003E643B" w:rsidRDefault="003E643B" w:rsidP="003E643B">
      <w:pPr>
        <w:tabs>
          <w:tab w:val="left" w:pos="900"/>
        </w:tabs>
        <w:ind w:left="360"/>
        <w:jc w:val="both"/>
        <w:rPr>
          <w:rFonts w:ascii="Calibri" w:hAnsi="Calibri"/>
          <w:sz w:val="22"/>
          <w:szCs w:val="22"/>
        </w:rPr>
      </w:pPr>
    </w:p>
    <w:p w14:paraId="7790F43A" w14:textId="30CDE701" w:rsidR="003E643B" w:rsidRPr="00F46291" w:rsidRDefault="00686D87" w:rsidP="003E643B">
      <w:pPr>
        <w:tabs>
          <w:tab w:val="left" w:pos="900"/>
        </w:tabs>
        <w:ind w:left="360"/>
        <w:jc w:val="both"/>
        <w:rPr>
          <w:rFonts w:ascii="Calibri" w:hAnsi="Calibri"/>
          <w:sz w:val="22"/>
          <w:szCs w:val="22"/>
        </w:rPr>
      </w:pPr>
      <w:r w:rsidRPr="008D7B56">
        <w:rPr>
          <w:noProof/>
          <w:lang w:eastAsia="en-US"/>
        </w:rPr>
        <w:drawing>
          <wp:inline distT="0" distB="0" distL="0" distR="0" wp14:anchorId="612F29BD" wp14:editId="763D82C0">
            <wp:extent cx="5486400" cy="995045"/>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995045"/>
                    </a:xfrm>
                    <a:prstGeom prst="rect">
                      <a:avLst/>
                    </a:prstGeom>
                    <a:noFill/>
                    <a:ln>
                      <a:noFill/>
                    </a:ln>
                  </pic:spPr>
                </pic:pic>
              </a:graphicData>
            </a:graphic>
          </wp:inline>
        </w:drawing>
      </w:r>
    </w:p>
    <w:p w14:paraId="67FFDC77" w14:textId="77777777" w:rsidR="002C605D" w:rsidRPr="00F46291" w:rsidRDefault="002C605D" w:rsidP="002C605D">
      <w:pPr>
        <w:tabs>
          <w:tab w:val="left" w:pos="900"/>
        </w:tabs>
        <w:ind w:left="360"/>
        <w:jc w:val="both"/>
        <w:rPr>
          <w:rFonts w:ascii="Calibri" w:hAnsi="Calibri"/>
          <w:sz w:val="22"/>
          <w:szCs w:val="22"/>
        </w:rPr>
      </w:pPr>
    </w:p>
    <w:p w14:paraId="3954173B" w14:textId="248448B4" w:rsidR="005A4325" w:rsidRDefault="000062FB">
      <w:pPr>
        <w:rPr>
          <w:rFonts w:ascii="Calibri" w:hAnsi="Calibri"/>
          <w:sz w:val="22"/>
          <w:szCs w:val="22"/>
        </w:rPr>
      </w:pPr>
      <w:r>
        <w:rPr>
          <w:noProof/>
          <w:lang w:eastAsia="en-US"/>
        </w:rPr>
        <w:drawing>
          <wp:inline distT="0" distB="0" distL="0" distR="0" wp14:anchorId="01E5E069" wp14:editId="00907124">
            <wp:extent cx="5486400" cy="4280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4280535"/>
                    </a:xfrm>
                    <a:prstGeom prst="rect">
                      <a:avLst/>
                    </a:prstGeom>
                  </pic:spPr>
                </pic:pic>
              </a:graphicData>
            </a:graphic>
          </wp:inline>
        </w:drawing>
      </w:r>
      <w:r w:rsidR="005A4325">
        <w:rPr>
          <w:rFonts w:ascii="Calibri" w:hAnsi="Calibri"/>
          <w:sz w:val="22"/>
          <w:szCs w:val="22"/>
        </w:rPr>
        <w:br w:type="page"/>
      </w:r>
    </w:p>
    <w:p w14:paraId="3B03A7A7" w14:textId="56E8BAD3" w:rsidR="002C605D" w:rsidRPr="00F46291" w:rsidRDefault="002C605D" w:rsidP="002F34AF">
      <w:pPr>
        <w:numPr>
          <w:ilvl w:val="0"/>
          <w:numId w:val="7"/>
        </w:numPr>
        <w:tabs>
          <w:tab w:val="left" w:pos="900"/>
        </w:tabs>
        <w:jc w:val="both"/>
        <w:rPr>
          <w:rFonts w:ascii="Calibri" w:hAnsi="Calibri"/>
          <w:sz w:val="22"/>
          <w:szCs w:val="22"/>
        </w:rPr>
      </w:pPr>
      <w:r w:rsidRPr="00F46291">
        <w:rPr>
          <w:rFonts w:ascii="Calibri" w:hAnsi="Calibri"/>
          <w:sz w:val="22"/>
          <w:szCs w:val="22"/>
        </w:rPr>
        <w:lastRenderedPageBreak/>
        <w:t xml:space="preserve">Prepare entries to </w:t>
      </w:r>
      <w:r w:rsidR="007B3D13" w:rsidRPr="00F46291">
        <w:rPr>
          <w:rFonts w:ascii="Calibri" w:hAnsi="Calibri"/>
          <w:sz w:val="22"/>
          <w:szCs w:val="22"/>
        </w:rPr>
        <w:t xml:space="preserve">reclassify the two net position accounts, as appropriate.  </w:t>
      </w:r>
    </w:p>
    <w:p w14:paraId="19DEEE87" w14:textId="63DF576C" w:rsidR="002C605D" w:rsidRPr="00F46291" w:rsidRDefault="00490791" w:rsidP="002C605D">
      <w:pPr>
        <w:pStyle w:val="ListParagraph"/>
        <w:rPr>
          <w:rFonts w:ascii="Calibri" w:hAnsi="Calibri"/>
          <w:sz w:val="22"/>
          <w:szCs w:val="22"/>
        </w:rPr>
      </w:pPr>
      <w:r>
        <w:rPr>
          <w:noProof/>
          <w:lang w:eastAsia="en-US"/>
        </w:rPr>
        <w:drawing>
          <wp:inline distT="0" distB="0" distL="0" distR="0" wp14:anchorId="0A29B263" wp14:editId="7CAD45DF">
            <wp:extent cx="492442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24425" cy="1857375"/>
                    </a:xfrm>
                    <a:prstGeom prst="rect">
                      <a:avLst/>
                    </a:prstGeom>
                  </pic:spPr>
                </pic:pic>
              </a:graphicData>
            </a:graphic>
          </wp:inline>
        </w:drawing>
      </w:r>
    </w:p>
    <w:p w14:paraId="46303A70" w14:textId="187D5CB0" w:rsidR="002C605D" w:rsidRPr="00F46291" w:rsidRDefault="002C605D" w:rsidP="002C605D">
      <w:pPr>
        <w:pStyle w:val="ListParagraph"/>
        <w:rPr>
          <w:rFonts w:ascii="Calibri" w:hAnsi="Calibri"/>
          <w:sz w:val="22"/>
          <w:szCs w:val="22"/>
        </w:rPr>
      </w:pPr>
    </w:p>
    <w:p w14:paraId="285C7ED5" w14:textId="33D91A06" w:rsidR="002C605D" w:rsidRDefault="002C605D" w:rsidP="002C605D">
      <w:pPr>
        <w:pStyle w:val="ListParagraph"/>
        <w:ind w:left="360"/>
        <w:rPr>
          <w:rFonts w:ascii="Calibri" w:hAnsi="Calibri"/>
          <w:sz w:val="22"/>
          <w:szCs w:val="22"/>
        </w:rPr>
      </w:pPr>
      <w:r w:rsidRPr="00F46291">
        <w:rPr>
          <w:rFonts w:ascii="Calibri" w:hAnsi="Calibri"/>
          <w:sz w:val="22"/>
          <w:szCs w:val="22"/>
        </w:rPr>
        <w:t xml:space="preserve">Calculate what the balance should be in the Net Investments in Capital Assets now.  </w:t>
      </w:r>
      <w:r w:rsidR="00490791">
        <w:rPr>
          <w:rFonts w:ascii="Calibri" w:hAnsi="Calibri"/>
          <w:sz w:val="22"/>
          <w:szCs w:val="22"/>
        </w:rPr>
        <w:t xml:space="preserve">To do this, run the post closing trial balance as it is now. </w:t>
      </w:r>
      <w:r w:rsidRPr="00F46291">
        <w:rPr>
          <w:rFonts w:ascii="Calibri" w:hAnsi="Calibri"/>
          <w:sz w:val="22"/>
          <w:szCs w:val="22"/>
        </w:rPr>
        <w:t>The difference between the beginning balance and the newly calculated balance will be the closing journal entry</w:t>
      </w:r>
      <w:r w:rsidR="0002038E" w:rsidRPr="00F46291">
        <w:rPr>
          <w:rFonts w:ascii="Calibri" w:hAnsi="Calibri"/>
          <w:sz w:val="22"/>
          <w:szCs w:val="22"/>
        </w:rPr>
        <w:t xml:space="preserve"> amount. The entry </w:t>
      </w:r>
      <w:r w:rsidRPr="00F46291">
        <w:rPr>
          <w:rFonts w:ascii="Calibri" w:hAnsi="Calibri"/>
          <w:sz w:val="22"/>
          <w:szCs w:val="22"/>
        </w:rPr>
        <w:t xml:space="preserve">will reclassify </w:t>
      </w:r>
      <w:r w:rsidR="0002038E" w:rsidRPr="00F46291">
        <w:rPr>
          <w:rFonts w:ascii="Calibri" w:hAnsi="Calibri"/>
          <w:sz w:val="22"/>
          <w:szCs w:val="22"/>
        </w:rPr>
        <w:t xml:space="preserve">the amount </w:t>
      </w:r>
      <w:r w:rsidRPr="00F46291">
        <w:rPr>
          <w:rFonts w:ascii="Calibri" w:hAnsi="Calibri"/>
          <w:sz w:val="22"/>
          <w:szCs w:val="22"/>
        </w:rPr>
        <w:t xml:space="preserve">between the two net position accounts. </w:t>
      </w:r>
    </w:p>
    <w:p w14:paraId="2AC8317F" w14:textId="31013893" w:rsidR="00490791" w:rsidRDefault="00490791" w:rsidP="002C605D">
      <w:pPr>
        <w:pStyle w:val="ListParagraph"/>
        <w:ind w:left="360"/>
        <w:rPr>
          <w:rFonts w:ascii="Calibri" w:hAnsi="Calibri"/>
          <w:sz w:val="22"/>
          <w:szCs w:val="22"/>
        </w:rPr>
      </w:pPr>
    </w:p>
    <w:p w14:paraId="16E42BD5" w14:textId="7E7675FB" w:rsidR="00490791" w:rsidRDefault="00490791" w:rsidP="002C605D">
      <w:pPr>
        <w:pStyle w:val="ListParagraph"/>
        <w:ind w:left="360"/>
        <w:rPr>
          <w:rFonts w:ascii="Calibri" w:hAnsi="Calibri"/>
          <w:sz w:val="22"/>
          <w:szCs w:val="22"/>
        </w:rPr>
      </w:pPr>
      <w:r>
        <w:rPr>
          <w:noProof/>
          <w:lang w:eastAsia="en-US"/>
        </w:rPr>
        <w:drawing>
          <wp:inline distT="0" distB="0" distL="0" distR="0" wp14:anchorId="4D896E4C" wp14:editId="0AFE6AC9">
            <wp:extent cx="5486400" cy="3465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3465830"/>
                    </a:xfrm>
                    <a:prstGeom prst="rect">
                      <a:avLst/>
                    </a:prstGeom>
                  </pic:spPr>
                </pic:pic>
              </a:graphicData>
            </a:graphic>
          </wp:inline>
        </w:drawing>
      </w:r>
    </w:p>
    <w:p w14:paraId="2199291A" w14:textId="7FCAABF5" w:rsidR="00490791" w:rsidRDefault="00490791" w:rsidP="002C605D">
      <w:pPr>
        <w:pStyle w:val="ListParagraph"/>
        <w:ind w:left="360"/>
        <w:rPr>
          <w:rFonts w:ascii="Calibri" w:hAnsi="Calibri"/>
          <w:sz w:val="22"/>
          <w:szCs w:val="22"/>
        </w:rPr>
      </w:pPr>
    </w:p>
    <w:p w14:paraId="1D33E50B" w14:textId="6B3E5029" w:rsidR="00490791" w:rsidRDefault="00490791" w:rsidP="002C605D">
      <w:pPr>
        <w:pStyle w:val="ListParagraph"/>
        <w:ind w:left="360"/>
        <w:rPr>
          <w:rFonts w:ascii="Calibri" w:hAnsi="Calibri"/>
          <w:sz w:val="22"/>
          <w:szCs w:val="22"/>
        </w:rPr>
      </w:pPr>
      <w:r>
        <w:rPr>
          <w:noProof/>
          <w:lang w:eastAsia="en-US"/>
        </w:rPr>
        <w:drawing>
          <wp:inline distT="0" distB="0" distL="0" distR="0" wp14:anchorId="50961DF1" wp14:editId="2A0799DE">
            <wp:extent cx="49149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14900" cy="1943100"/>
                    </a:xfrm>
                    <a:prstGeom prst="rect">
                      <a:avLst/>
                    </a:prstGeom>
                  </pic:spPr>
                </pic:pic>
              </a:graphicData>
            </a:graphic>
          </wp:inline>
        </w:drawing>
      </w:r>
    </w:p>
    <w:p w14:paraId="532513C9" w14:textId="2376AB69" w:rsidR="003E643B" w:rsidRPr="00F46291" w:rsidRDefault="00686D87" w:rsidP="002C605D">
      <w:pPr>
        <w:pStyle w:val="ListParagraph"/>
        <w:ind w:left="360"/>
        <w:rPr>
          <w:rFonts w:ascii="Calibri" w:hAnsi="Calibri"/>
          <w:sz w:val="22"/>
          <w:szCs w:val="22"/>
        </w:rPr>
      </w:pPr>
      <w:r w:rsidRPr="008D7B56">
        <w:rPr>
          <w:noProof/>
          <w:lang w:eastAsia="en-US"/>
        </w:rPr>
        <w:drawing>
          <wp:inline distT="0" distB="0" distL="0" distR="0" wp14:anchorId="4A4425D1" wp14:editId="3EDF9C29">
            <wp:extent cx="5494020" cy="285115"/>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4020" cy="285115"/>
                    </a:xfrm>
                    <a:prstGeom prst="rect">
                      <a:avLst/>
                    </a:prstGeom>
                    <a:noFill/>
                    <a:ln>
                      <a:noFill/>
                    </a:ln>
                  </pic:spPr>
                </pic:pic>
              </a:graphicData>
            </a:graphic>
          </wp:inline>
        </w:drawing>
      </w:r>
    </w:p>
    <w:p w14:paraId="7471CA70" w14:textId="61530FD0" w:rsidR="002F34AF" w:rsidRPr="00F46291" w:rsidRDefault="002F34AF" w:rsidP="002F34AF">
      <w:pPr>
        <w:tabs>
          <w:tab w:val="left" w:pos="900"/>
        </w:tabs>
        <w:jc w:val="both"/>
        <w:rPr>
          <w:rFonts w:ascii="Calibri" w:hAnsi="Calibri"/>
          <w:sz w:val="22"/>
          <w:szCs w:val="22"/>
        </w:rPr>
      </w:pPr>
    </w:p>
    <w:p w14:paraId="718D2776" w14:textId="77777777" w:rsidR="00845C7F" w:rsidRDefault="00845C7F">
      <w:pPr>
        <w:rPr>
          <w:rFonts w:ascii="Calibri" w:hAnsi="Calibri"/>
          <w:b/>
          <w:sz w:val="22"/>
          <w:szCs w:val="22"/>
        </w:rPr>
      </w:pPr>
      <w:r>
        <w:rPr>
          <w:rFonts w:ascii="Calibri" w:hAnsi="Calibri"/>
          <w:b/>
          <w:sz w:val="22"/>
          <w:szCs w:val="22"/>
        </w:rPr>
        <w:br w:type="page"/>
      </w:r>
    </w:p>
    <w:p w14:paraId="17886886" w14:textId="4A09B5B8" w:rsidR="005420B2" w:rsidRPr="00F46291" w:rsidRDefault="005420B2" w:rsidP="005420B2">
      <w:pPr>
        <w:numPr>
          <w:ilvl w:val="0"/>
          <w:numId w:val="7"/>
        </w:numPr>
        <w:tabs>
          <w:tab w:val="left" w:pos="0"/>
        </w:tabs>
        <w:jc w:val="both"/>
        <w:rPr>
          <w:rFonts w:ascii="Calibri" w:hAnsi="Calibri"/>
          <w:b/>
          <w:sz w:val="22"/>
          <w:szCs w:val="22"/>
        </w:rPr>
      </w:pPr>
      <w:r>
        <w:rPr>
          <w:rFonts w:ascii="Calibri" w:hAnsi="Calibri"/>
          <w:b/>
          <w:sz w:val="22"/>
          <w:szCs w:val="22"/>
        </w:rPr>
        <w:lastRenderedPageBreak/>
        <w:t>Refer to Document listing to show your work</w:t>
      </w:r>
    </w:p>
    <w:p w14:paraId="61C1FC0A" w14:textId="2737DC0B" w:rsidR="00DF786B" w:rsidRPr="00F46291" w:rsidRDefault="00DF786B" w:rsidP="00DF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b/>
          <w:sz w:val="22"/>
          <w:szCs w:val="22"/>
        </w:rPr>
      </w:pPr>
    </w:p>
    <w:p w14:paraId="244E956A" w14:textId="23D3001B" w:rsidR="003016B8" w:rsidRPr="00F46291" w:rsidRDefault="00DF786B" w:rsidP="00DF786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Calibri" w:hAnsi="Calibri"/>
          <w:b/>
          <w:sz w:val="22"/>
          <w:szCs w:val="22"/>
        </w:rPr>
      </w:pPr>
      <w:r w:rsidRPr="00F46291">
        <w:rPr>
          <w:rFonts w:ascii="Calibri" w:hAnsi="Calibri"/>
          <w:b/>
          <w:sz w:val="22"/>
          <w:szCs w:val="22"/>
        </w:rPr>
        <w:tab/>
      </w:r>
    </w:p>
    <w:p w14:paraId="04737892" w14:textId="53B873D9" w:rsidR="00DF786B" w:rsidRPr="00F46291" w:rsidRDefault="00DF786B" w:rsidP="00EC0271">
      <w:pPr>
        <w:jc w:val="both"/>
        <w:rPr>
          <w:rFonts w:ascii="Calibri" w:hAnsi="Calibri"/>
          <w:sz w:val="22"/>
          <w:szCs w:val="22"/>
        </w:rPr>
      </w:pPr>
    </w:p>
    <w:sectPr w:rsidR="00DF786B" w:rsidRPr="00F46291" w:rsidSect="00490791">
      <w:footerReference w:type="even" r:id="rId32"/>
      <w:footerReference w:type="default" r:id="rId33"/>
      <w:pgSz w:w="12240" w:h="15840"/>
      <w:pgMar w:top="54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D1CFD" w14:textId="77777777" w:rsidR="005413B6" w:rsidRDefault="005413B6">
      <w:r>
        <w:separator/>
      </w:r>
    </w:p>
  </w:endnote>
  <w:endnote w:type="continuationSeparator" w:id="0">
    <w:p w14:paraId="1B750B12" w14:textId="77777777" w:rsidR="005413B6" w:rsidRDefault="0054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2231" w14:textId="77777777" w:rsidR="006D33DD" w:rsidRDefault="006D33DD" w:rsidP="002B5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808F63" w14:textId="77777777" w:rsidR="006D33DD" w:rsidRDefault="006D3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0238" w14:textId="2BF1D057" w:rsidR="00D85B12" w:rsidRDefault="00D85B12">
    <w:pPr>
      <w:pStyle w:val="Footer"/>
      <w:jc w:val="right"/>
    </w:pPr>
    <w:r>
      <w:fldChar w:fldCharType="begin"/>
    </w:r>
    <w:r>
      <w:instrText xml:space="preserve"> PAGE   \* MERGEFORMAT </w:instrText>
    </w:r>
    <w:r>
      <w:fldChar w:fldCharType="separate"/>
    </w:r>
    <w:r w:rsidR="00985AB7">
      <w:rPr>
        <w:noProof/>
      </w:rPr>
      <w:t>1</w:t>
    </w:r>
    <w:r>
      <w:rPr>
        <w:noProof/>
      </w:rPr>
      <w:fldChar w:fldCharType="end"/>
    </w:r>
  </w:p>
  <w:p w14:paraId="595F5C09" w14:textId="77777777" w:rsidR="006D33DD" w:rsidRDefault="006D3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10B5" w14:textId="77777777" w:rsidR="005413B6" w:rsidRDefault="005413B6">
      <w:r>
        <w:separator/>
      </w:r>
    </w:p>
  </w:footnote>
  <w:footnote w:type="continuationSeparator" w:id="0">
    <w:p w14:paraId="6BDDBCFC" w14:textId="77777777" w:rsidR="005413B6" w:rsidRDefault="0054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A2"/>
    <w:multiLevelType w:val="hybridMultilevel"/>
    <w:tmpl w:val="70D8A594"/>
    <w:lvl w:ilvl="0" w:tplc="0409000F">
      <w:start w:val="3"/>
      <w:numFmt w:val="decimal"/>
      <w:lvlText w:val="%1."/>
      <w:lvlJc w:val="left"/>
      <w:pPr>
        <w:tabs>
          <w:tab w:val="num" w:pos="720"/>
        </w:tabs>
        <w:ind w:left="720" w:hanging="360"/>
      </w:pPr>
      <w:rPr>
        <w:rFonts w:hint="default"/>
      </w:rPr>
    </w:lvl>
    <w:lvl w:ilvl="1" w:tplc="9B8856D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B06A8"/>
    <w:multiLevelType w:val="hybridMultilevel"/>
    <w:tmpl w:val="6F4C424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81E55"/>
    <w:multiLevelType w:val="multilevel"/>
    <w:tmpl w:val="8E4433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2B6980"/>
    <w:multiLevelType w:val="hybridMultilevel"/>
    <w:tmpl w:val="631226DE"/>
    <w:lvl w:ilvl="0" w:tplc="071E7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084"/>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C02E2B"/>
    <w:multiLevelType w:val="singleLevel"/>
    <w:tmpl w:val="AED81BE0"/>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6" w15:restartNumberingAfterBreak="0">
    <w:nsid w:val="32692B22"/>
    <w:multiLevelType w:val="hybridMultilevel"/>
    <w:tmpl w:val="6F601628"/>
    <w:lvl w:ilvl="0" w:tplc="52086A7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B3049"/>
    <w:multiLevelType w:val="hybridMultilevel"/>
    <w:tmpl w:val="F0662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1222A4"/>
    <w:multiLevelType w:val="hybridMultilevel"/>
    <w:tmpl w:val="47784822"/>
    <w:lvl w:ilvl="0" w:tplc="9D2E7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5134E8"/>
    <w:multiLevelType w:val="singleLevel"/>
    <w:tmpl w:val="EF30883E"/>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1" w15:restartNumberingAfterBreak="0">
    <w:nsid w:val="4CC02315"/>
    <w:multiLevelType w:val="hybridMultilevel"/>
    <w:tmpl w:val="6F383D76"/>
    <w:lvl w:ilvl="0" w:tplc="03A05EC0">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764D2"/>
    <w:multiLevelType w:val="singleLevel"/>
    <w:tmpl w:val="1F124ED4"/>
    <w:lvl w:ilvl="0">
      <w:start w:val="1"/>
      <w:numFmt w:val="lowerLetter"/>
      <w:lvlText w:val="%1."/>
      <w:lvlJc w:val="left"/>
      <w:pPr>
        <w:tabs>
          <w:tab w:val="num" w:pos="360"/>
        </w:tabs>
        <w:ind w:left="360" w:hanging="360"/>
      </w:pPr>
      <w:rPr>
        <w:rFonts w:hint="default"/>
        <w:b/>
      </w:rPr>
    </w:lvl>
  </w:abstractNum>
  <w:abstractNum w:abstractNumId="13" w15:restartNumberingAfterBreak="0">
    <w:nsid w:val="536C2B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635F22"/>
    <w:multiLevelType w:val="hybridMultilevel"/>
    <w:tmpl w:val="3542ADE6"/>
    <w:lvl w:ilvl="0" w:tplc="D94013C6">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7B5AFF"/>
    <w:multiLevelType w:val="singleLevel"/>
    <w:tmpl w:val="3FA87546"/>
    <w:lvl w:ilvl="0">
      <w:start w:val="6"/>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6" w15:restartNumberingAfterBreak="0">
    <w:nsid w:val="5A9E3391"/>
    <w:multiLevelType w:val="singleLevel"/>
    <w:tmpl w:val="BC2C8A6C"/>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17" w15:restartNumberingAfterBreak="0">
    <w:nsid w:val="5BC970AA"/>
    <w:multiLevelType w:val="hybridMultilevel"/>
    <w:tmpl w:val="E72C3B18"/>
    <w:lvl w:ilvl="0" w:tplc="756ABCFA">
      <w:start w:val="1"/>
      <w:numFmt w:val="upperLetter"/>
      <w:lvlText w:val="%1."/>
      <w:lvlJc w:val="left"/>
      <w:pPr>
        <w:tabs>
          <w:tab w:val="num" w:pos="720"/>
        </w:tabs>
        <w:ind w:left="720" w:hanging="360"/>
      </w:pPr>
      <w:rPr>
        <w:rFonts w:hint="default"/>
        <w:b/>
      </w:rPr>
    </w:lvl>
    <w:lvl w:ilvl="1" w:tplc="4710ABE4" w:tentative="1">
      <w:start w:val="1"/>
      <w:numFmt w:val="lowerLetter"/>
      <w:lvlText w:val="%2."/>
      <w:lvlJc w:val="left"/>
      <w:pPr>
        <w:tabs>
          <w:tab w:val="num" w:pos="1440"/>
        </w:tabs>
        <w:ind w:left="1440" w:hanging="360"/>
      </w:pPr>
    </w:lvl>
    <w:lvl w:ilvl="2" w:tplc="EBC813EE" w:tentative="1">
      <w:start w:val="1"/>
      <w:numFmt w:val="lowerRoman"/>
      <w:lvlText w:val="%3."/>
      <w:lvlJc w:val="right"/>
      <w:pPr>
        <w:tabs>
          <w:tab w:val="num" w:pos="2160"/>
        </w:tabs>
        <w:ind w:left="2160" w:hanging="180"/>
      </w:pPr>
    </w:lvl>
    <w:lvl w:ilvl="3" w:tplc="FF806674" w:tentative="1">
      <w:start w:val="1"/>
      <w:numFmt w:val="decimal"/>
      <w:lvlText w:val="%4."/>
      <w:lvlJc w:val="left"/>
      <w:pPr>
        <w:tabs>
          <w:tab w:val="num" w:pos="2880"/>
        </w:tabs>
        <w:ind w:left="2880" w:hanging="360"/>
      </w:pPr>
    </w:lvl>
    <w:lvl w:ilvl="4" w:tplc="0E02C678" w:tentative="1">
      <w:start w:val="1"/>
      <w:numFmt w:val="lowerLetter"/>
      <w:lvlText w:val="%5."/>
      <w:lvlJc w:val="left"/>
      <w:pPr>
        <w:tabs>
          <w:tab w:val="num" w:pos="3600"/>
        </w:tabs>
        <w:ind w:left="3600" w:hanging="360"/>
      </w:pPr>
    </w:lvl>
    <w:lvl w:ilvl="5" w:tplc="8C589104" w:tentative="1">
      <w:start w:val="1"/>
      <w:numFmt w:val="lowerRoman"/>
      <w:lvlText w:val="%6."/>
      <w:lvlJc w:val="right"/>
      <w:pPr>
        <w:tabs>
          <w:tab w:val="num" w:pos="4320"/>
        </w:tabs>
        <w:ind w:left="4320" w:hanging="180"/>
      </w:pPr>
    </w:lvl>
    <w:lvl w:ilvl="6" w:tplc="AFF4B1E0" w:tentative="1">
      <w:start w:val="1"/>
      <w:numFmt w:val="decimal"/>
      <w:lvlText w:val="%7."/>
      <w:lvlJc w:val="left"/>
      <w:pPr>
        <w:tabs>
          <w:tab w:val="num" w:pos="5040"/>
        </w:tabs>
        <w:ind w:left="5040" w:hanging="360"/>
      </w:pPr>
    </w:lvl>
    <w:lvl w:ilvl="7" w:tplc="78BE9612" w:tentative="1">
      <w:start w:val="1"/>
      <w:numFmt w:val="lowerLetter"/>
      <w:lvlText w:val="%8."/>
      <w:lvlJc w:val="left"/>
      <w:pPr>
        <w:tabs>
          <w:tab w:val="num" w:pos="5760"/>
        </w:tabs>
        <w:ind w:left="5760" w:hanging="360"/>
      </w:pPr>
    </w:lvl>
    <w:lvl w:ilvl="8" w:tplc="BFDCCE40" w:tentative="1">
      <w:start w:val="1"/>
      <w:numFmt w:val="lowerRoman"/>
      <w:lvlText w:val="%9."/>
      <w:lvlJc w:val="right"/>
      <w:pPr>
        <w:tabs>
          <w:tab w:val="num" w:pos="6480"/>
        </w:tabs>
        <w:ind w:left="6480" w:hanging="180"/>
      </w:pPr>
    </w:lvl>
  </w:abstractNum>
  <w:abstractNum w:abstractNumId="18" w15:restartNumberingAfterBreak="0">
    <w:nsid w:val="70332F09"/>
    <w:multiLevelType w:val="hybridMultilevel"/>
    <w:tmpl w:val="773806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70F64E60"/>
    <w:multiLevelType w:val="singleLevel"/>
    <w:tmpl w:val="66D0BDD6"/>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7B53CC"/>
    <w:multiLevelType w:val="hybridMultilevel"/>
    <w:tmpl w:val="E69C8988"/>
    <w:lvl w:ilvl="0" w:tplc="ADB8FF8C">
      <w:start w:val="1"/>
      <w:numFmt w:val="lowerLetter"/>
      <w:lvlText w:val="%1."/>
      <w:lvlJc w:val="left"/>
      <w:pPr>
        <w:tabs>
          <w:tab w:val="num" w:pos="780"/>
        </w:tabs>
        <w:ind w:left="780" w:hanging="420"/>
      </w:pPr>
      <w:rPr>
        <w:rFonts w:hint="default"/>
        <w:b/>
      </w:rPr>
    </w:lvl>
    <w:lvl w:ilvl="1" w:tplc="BC14BE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25FAA"/>
    <w:multiLevelType w:val="singleLevel"/>
    <w:tmpl w:val="3B78CCE4"/>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17"/>
  </w:num>
  <w:num w:numId="2">
    <w:abstractNumId w:val="9"/>
  </w:num>
  <w:num w:numId="3">
    <w:abstractNumId w:val="13"/>
  </w:num>
  <w:num w:numId="4">
    <w:abstractNumId w:val="16"/>
  </w:num>
  <w:num w:numId="5">
    <w:abstractNumId w:val="23"/>
  </w:num>
  <w:num w:numId="6">
    <w:abstractNumId w:val="19"/>
  </w:num>
  <w:num w:numId="7">
    <w:abstractNumId w:val="12"/>
  </w:num>
  <w:num w:numId="8">
    <w:abstractNumId w:val="10"/>
  </w:num>
  <w:num w:numId="9">
    <w:abstractNumId w:val="5"/>
  </w:num>
  <w:num w:numId="10">
    <w:abstractNumId w:val="15"/>
  </w:num>
  <w:num w:numId="11">
    <w:abstractNumId w:val="1"/>
  </w:num>
  <w:num w:numId="12">
    <w:abstractNumId w:val="0"/>
  </w:num>
  <w:num w:numId="13">
    <w:abstractNumId w:val="11"/>
  </w:num>
  <w:num w:numId="14">
    <w:abstractNumId w:val="21"/>
  </w:num>
  <w:num w:numId="15">
    <w:abstractNumId w:val="14"/>
  </w:num>
  <w:num w:numId="16">
    <w:abstractNumId w:val="3"/>
  </w:num>
  <w:num w:numId="17">
    <w:abstractNumId w:val="8"/>
  </w:num>
  <w:num w:numId="18">
    <w:abstractNumId w:val="18"/>
  </w:num>
  <w:num w:numId="19">
    <w:abstractNumId w:val="6"/>
  </w:num>
  <w:num w:numId="20">
    <w:abstractNumId w:val="20"/>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lvlOverride w:ilvl="0">
      <w:startOverride w:val="1"/>
    </w:lvlOverride>
  </w:num>
  <w:num w:numId="25">
    <w:abstractNumId w:val="2"/>
    <w:lvlOverride w:ilvl="0">
      <w:startOverride w:val="2"/>
    </w:lvlOverride>
  </w:num>
  <w:num w:numId="26">
    <w:abstractNumId w:val="2"/>
    <w:lvlOverride w:ilvl="0">
      <w:startOverride w:val="3"/>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16"/>
    <w:rsid w:val="0000020B"/>
    <w:rsid w:val="000006B5"/>
    <w:rsid w:val="00003B32"/>
    <w:rsid w:val="00005E93"/>
    <w:rsid w:val="000062FB"/>
    <w:rsid w:val="000122BC"/>
    <w:rsid w:val="000160DF"/>
    <w:rsid w:val="0002038E"/>
    <w:rsid w:val="00022C02"/>
    <w:rsid w:val="000231A9"/>
    <w:rsid w:val="000319C6"/>
    <w:rsid w:val="00032B2F"/>
    <w:rsid w:val="00033A51"/>
    <w:rsid w:val="00033AE7"/>
    <w:rsid w:val="000341CF"/>
    <w:rsid w:val="000363E3"/>
    <w:rsid w:val="00040A48"/>
    <w:rsid w:val="000418E9"/>
    <w:rsid w:val="00043CF9"/>
    <w:rsid w:val="00047209"/>
    <w:rsid w:val="000562AD"/>
    <w:rsid w:val="000604CB"/>
    <w:rsid w:val="00060723"/>
    <w:rsid w:val="00060A5E"/>
    <w:rsid w:val="0006143F"/>
    <w:rsid w:val="0006370B"/>
    <w:rsid w:val="00063D16"/>
    <w:rsid w:val="000703B1"/>
    <w:rsid w:val="00070901"/>
    <w:rsid w:val="00071F57"/>
    <w:rsid w:val="000764E0"/>
    <w:rsid w:val="000823DB"/>
    <w:rsid w:val="00084AFA"/>
    <w:rsid w:val="000916B5"/>
    <w:rsid w:val="0009248D"/>
    <w:rsid w:val="00092F4D"/>
    <w:rsid w:val="00095595"/>
    <w:rsid w:val="00096BC6"/>
    <w:rsid w:val="00097BC9"/>
    <w:rsid w:val="000A144B"/>
    <w:rsid w:val="000A4B78"/>
    <w:rsid w:val="000A583B"/>
    <w:rsid w:val="000B061E"/>
    <w:rsid w:val="000B0EC2"/>
    <w:rsid w:val="000B1CC7"/>
    <w:rsid w:val="000B5A98"/>
    <w:rsid w:val="000C1425"/>
    <w:rsid w:val="000C6F53"/>
    <w:rsid w:val="000D175A"/>
    <w:rsid w:val="000D2808"/>
    <w:rsid w:val="000D2F95"/>
    <w:rsid w:val="000D334F"/>
    <w:rsid w:val="000D3DB8"/>
    <w:rsid w:val="000D615D"/>
    <w:rsid w:val="000E2770"/>
    <w:rsid w:val="000E3928"/>
    <w:rsid w:val="000E3AD9"/>
    <w:rsid w:val="000E4D07"/>
    <w:rsid w:val="000E510C"/>
    <w:rsid w:val="000E6356"/>
    <w:rsid w:val="000E7092"/>
    <w:rsid w:val="000F02E0"/>
    <w:rsid w:val="000F1394"/>
    <w:rsid w:val="000F2FFF"/>
    <w:rsid w:val="000F59A5"/>
    <w:rsid w:val="000F5DD8"/>
    <w:rsid w:val="000F6DE0"/>
    <w:rsid w:val="0010186C"/>
    <w:rsid w:val="00101BAF"/>
    <w:rsid w:val="001020EC"/>
    <w:rsid w:val="00104784"/>
    <w:rsid w:val="00106AF0"/>
    <w:rsid w:val="0010771B"/>
    <w:rsid w:val="001129E1"/>
    <w:rsid w:val="00113B60"/>
    <w:rsid w:val="00115DAF"/>
    <w:rsid w:val="0011687F"/>
    <w:rsid w:val="00117176"/>
    <w:rsid w:val="001237DD"/>
    <w:rsid w:val="00126D4F"/>
    <w:rsid w:val="00130A1D"/>
    <w:rsid w:val="00132D72"/>
    <w:rsid w:val="00133355"/>
    <w:rsid w:val="00133B97"/>
    <w:rsid w:val="00137A03"/>
    <w:rsid w:val="00141B1A"/>
    <w:rsid w:val="00143C07"/>
    <w:rsid w:val="0014409A"/>
    <w:rsid w:val="00146D04"/>
    <w:rsid w:val="00152516"/>
    <w:rsid w:val="0015427F"/>
    <w:rsid w:val="00161031"/>
    <w:rsid w:val="00163FA1"/>
    <w:rsid w:val="0016502E"/>
    <w:rsid w:val="00170B6E"/>
    <w:rsid w:val="001756D3"/>
    <w:rsid w:val="00176656"/>
    <w:rsid w:val="0018039F"/>
    <w:rsid w:val="00180725"/>
    <w:rsid w:val="001815ED"/>
    <w:rsid w:val="00183823"/>
    <w:rsid w:val="001908E8"/>
    <w:rsid w:val="00191791"/>
    <w:rsid w:val="00194C70"/>
    <w:rsid w:val="001969E4"/>
    <w:rsid w:val="001A5447"/>
    <w:rsid w:val="001B2A14"/>
    <w:rsid w:val="001C1822"/>
    <w:rsid w:val="001C2E0D"/>
    <w:rsid w:val="001C6DC8"/>
    <w:rsid w:val="001D2129"/>
    <w:rsid w:val="001D4B8E"/>
    <w:rsid w:val="001D6811"/>
    <w:rsid w:val="001E0113"/>
    <w:rsid w:val="001E19B2"/>
    <w:rsid w:val="001F1DA4"/>
    <w:rsid w:val="001F3527"/>
    <w:rsid w:val="001F4699"/>
    <w:rsid w:val="001F7229"/>
    <w:rsid w:val="00202004"/>
    <w:rsid w:val="0020288F"/>
    <w:rsid w:val="00206D9B"/>
    <w:rsid w:val="00206E15"/>
    <w:rsid w:val="00213DC5"/>
    <w:rsid w:val="00213FC0"/>
    <w:rsid w:val="00214316"/>
    <w:rsid w:val="00217CB0"/>
    <w:rsid w:val="002208CF"/>
    <w:rsid w:val="002219AF"/>
    <w:rsid w:val="002219D5"/>
    <w:rsid w:val="0022307D"/>
    <w:rsid w:val="002232D6"/>
    <w:rsid w:val="002244E9"/>
    <w:rsid w:val="00224CE1"/>
    <w:rsid w:val="00227E38"/>
    <w:rsid w:val="002305CF"/>
    <w:rsid w:val="0023150E"/>
    <w:rsid w:val="00231DBC"/>
    <w:rsid w:val="00235884"/>
    <w:rsid w:val="00235BA3"/>
    <w:rsid w:val="0024096B"/>
    <w:rsid w:val="002426A0"/>
    <w:rsid w:val="002452C2"/>
    <w:rsid w:val="00245E5E"/>
    <w:rsid w:val="00247810"/>
    <w:rsid w:val="0024796A"/>
    <w:rsid w:val="00247CBE"/>
    <w:rsid w:val="00262E82"/>
    <w:rsid w:val="00264B6C"/>
    <w:rsid w:val="00270248"/>
    <w:rsid w:val="00270896"/>
    <w:rsid w:val="00270B16"/>
    <w:rsid w:val="00270F13"/>
    <w:rsid w:val="0027150C"/>
    <w:rsid w:val="0027358E"/>
    <w:rsid w:val="00273D56"/>
    <w:rsid w:val="002760DB"/>
    <w:rsid w:val="002802F7"/>
    <w:rsid w:val="00285F45"/>
    <w:rsid w:val="00292897"/>
    <w:rsid w:val="00294B24"/>
    <w:rsid w:val="002977ED"/>
    <w:rsid w:val="002A0A83"/>
    <w:rsid w:val="002A230C"/>
    <w:rsid w:val="002A480E"/>
    <w:rsid w:val="002A7128"/>
    <w:rsid w:val="002B1D6B"/>
    <w:rsid w:val="002B5E03"/>
    <w:rsid w:val="002B78DF"/>
    <w:rsid w:val="002C406F"/>
    <w:rsid w:val="002C463F"/>
    <w:rsid w:val="002C605D"/>
    <w:rsid w:val="002D2958"/>
    <w:rsid w:val="002D62AA"/>
    <w:rsid w:val="002E0B68"/>
    <w:rsid w:val="002E29A3"/>
    <w:rsid w:val="002E353D"/>
    <w:rsid w:val="002E6561"/>
    <w:rsid w:val="002E6D04"/>
    <w:rsid w:val="002F1C9E"/>
    <w:rsid w:val="002F34AF"/>
    <w:rsid w:val="002F4C27"/>
    <w:rsid w:val="002F71DF"/>
    <w:rsid w:val="003016B8"/>
    <w:rsid w:val="00301D06"/>
    <w:rsid w:val="00310803"/>
    <w:rsid w:val="0031206D"/>
    <w:rsid w:val="00313799"/>
    <w:rsid w:val="0031424C"/>
    <w:rsid w:val="00314756"/>
    <w:rsid w:val="00315022"/>
    <w:rsid w:val="00317196"/>
    <w:rsid w:val="003253F0"/>
    <w:rsid w:val="003258EE"/>
    <w:rsid w:val="003308DC"/>
    <w:rsid w:val="00331439"/>
    <w:rsid w:val="00332102"/>
    <w:rsid w:val="003378EA"/>
    <w:rsid w:val="0034102A"/>
    <w:rsid w:val="00345A04"/>
    <w:rsid w:val="00346599"/>
    <w:rsid w:val="00350996"/>
    <w:rsid w:val="00350F0B"/>
    <w:rsid w:val="003515D5"/>
    <w:rsid w:val="00353948"/>
    <w:rsid w:val="00354079"/>
    <w:rsid w:val="00354816"/>
    <w:rsid w:val="00357702"/>
    <w:rsid w:val="0036051A"/>
    <w:rsid w:val="0037012A"/>
    <w:rsid w:val="00373BE1"/>
    <w:rsid w:val="00381A1A"/>
    <w:rsid w:val="003846E7"/>
    <w:rsid w:val="00386235"/>
    <w:rsid w:val="003866B6"/>
    <w:rsid w:val="003A0550"/>
    <w:rsid w:val="003A101B"/>
    <w:rsid w:val="003A2B06"/>
    <w:rsid w:val="003A303C"/>
    <w:rsid w:val="003B47D3"/>
    <w:rsid w:val="003B5CFD"/>
    <w:rsid w:val="003B6B94"/>
    <w:rsid w:val="003C3A1F"/>
    <w:rsid w:val="003C4B84"/>
    <w:rsid w:val="003C554B"/>
    <w:rsid w:val="003D203E"/>
    <w:rsid w:val="003D3483"/>
    <w:rsid w:val="003D6EE1"/>
    <w:rsid w:val="003E4785"/>
    <w:rsid w:val="003E643B"/>
    <w:rsid w:val="003E7992"/>
    <w:rsid w:val="003F455F"/>
    <w:rsid w:val="003F509A"/>
    <w:rsid w:val="003F569F"/>
    <w:rsid w:val="00402FD1"/>
    <w:rsid w:val="0040480A"/>
    <w:rsid w:val="004063B5"/>
    <w:rsid w:val="00417B3B"/>
    <w:rsid w:val="00420694"/>
    <w:rsid w:val="004247BC"/>
    <w:rsid w:val="00426A57"/>
    <w:rsid w:val="00427DDC"/>
    <w:rsid w:val="004309C8"/>
    <w:rsid w:val="00431CDC"/>
    <w:rsid w:val="00432026"/>
    <w:rsid w:val="00441057"/>
    <w:rsid w:val="00444C1A"/>
    <w:rsid w:val="00445D8F"/>
    <w:rsid w:val="0044726E"/>
    <w:rsid w:val="004502D1"/>
    <w:rsid w:val="0045058A"/>
    <w:rsid w:val="00451E59"/>
    <w:rsid w:val="004548D0"/>
    <w:rsid w:val="00455225"/>
    <w:rsid w:val="00457323"/>
    <w:rsid w:val="004611F6"/>
    <w:rsid w:val="00466556"/>
    <w:rsid w:val="0046705E"/>
    <w:rsid w:val="0046793A"/>
    <w:rsid w:val="00467E04"/>
    <w:rsid w:val="00472D9E"/>
    <w:rsid w:val="00475C63"/>
    <w:rsid w:val="00480C52"/>
    <w:rsid w:val="0048371B"/>
    <w:rsid w:val="00487D53"/>
    <w:rsid w:val="0049056A"/>
    <w:rsid w:val="00490791"/>
    <w:rsid w:val="004917C4"/>
    <w:rsid w:val="0049359F"/>
    <w:rsid w:val="004A275E"/>
    <w:rsid w:val="004A4038"/>
    <w:rsid w:val="004A6FA2"/>
    <w:rsid w:val="004B01BE"/>
    <w:rsid w:val="004B0F0E"/>
    <w:rsid w:val="004B6B41"/>
    <w:rsid w:val="004C3A09"/>
    <w:rsid w:val="004D07B0"/>
    <w:rsid w:val="004D21D6"/>
    <w:rsid w:val="004D418E"/>
    <w:rsid w:val="004E3B30"/>
    <w:rsid w:val="004E488D"/>
    <w:rsid w:val="004E57C4"/>
    <w:rsid w:val="004E7DD4"/>
    <w:rsid w:val="004F1903"/>
    <w:rsid w:val="004F1956"/>
    <w:rsid w:val="004F4C14"/>
    <w:rsid w:val="005029EC"/>
    <w:rsid w:val="005054DF"/>
    <w:rsid w:val="00505DC7"/>
    <w:rsid w:val="00511920"/>
    <w:rsid w:val="00511ED2"/>
    <w:rsid w:val="005123DD"/>
    <w:rsid w:val="00513AC9"/>
    <w:rsid w:val="00517A2A"/>
    <w:rsid w:val="00520906"/>
    <w:rsid w:val="00520D1F"/>
    <w:rsid w:val="00522B40"/>
    <w:rsid w:val="005236FC"/>
    <w:rsid w:val="00527F83"/>
    <w:rsid w:val="00530F39"/>
    <w:rsid w:val="005324CF"/>
    <w:rsid w:val="00535E42"/>
    <w:rsid w:val="005370ED"/>
    <w:rsid w:val="0053786C"/>
    <w:rsid w:val="00540233"/>
    <w:rsid w:val="005412B7"/>
    <w:rsid w:val="005413B6"/>
    <w:rsid w:val="005420B2"/>
    <w:rsid w:val="005452FF"/>
    <w:rsid w:val="00545327"/>
    <w:rsid w:val="0055156A"/>
    <w:rsid w:val="00551879"/>
    <w:rsid w:val="0055546C"/>
    <w:rsid w:val="005554B1"/>
    <w:rsid w:val="0055606F"/>
    <w:rsid w:val="00560FBA"/>
    <w:rsid w:val="00563CCF"/>
    <w:rsid w:val="00565878"/>
    <w:rsid w:val="00566F38"/>
    <w:rsid w:val="005706E3"/>
    <w:rsid w:val="00574017"/>
    <w:rsid w:val="00584C5C"/>
    <w:rsid w:val="00586516"/>
    <w:rsid w:val="005865D3"/>
    <w:rsid w:val="00586980"/>
    <w:rsid w:val="005875A7"/>
    <w:rsid w:val="00590265"/>
    <w:rsid w:val="00592701"/>
    <w:rsid w:val="00595E0E"/>
    <w:rsid w:val="005A2E65"/>
    <w:rsid w:val="005A4325"/>
    <w:rsid w:val="005A57F0"/>
    <w:rsid w:val="005A5BB5"/>
    <w:rsid w:val="005B3EE1"/>
    <w:rsid w:val="005B51C0"/>
    <w:rsid w:val="005B715D"/>
    <w:rsid w:val="005C58B9"/>
    <w:rsid w:val="005C650C"/>
    <w:rsid w:val="005E16F9"/>
    <w:rsid w:val="005E1C18"/>
    <w:rsid w:val="005E45D6"/>
    <w:rsid w:val="005F03BC"/>
    <w:rsid w:val="005F0EA0"/>
    <w:rsid w:val="005F25CB"/>
    <w:rsid w:val="005F49EC"/>
    <w:rsid w:val="00603638"/>
    <w:rsid w:val="00603B24"/>
    <w:rsid w:val="0060444F"/>
    <w:rsid w:val="00607BF2"/>
    <w:rsid w:val="0061091F"/>
    <w:rsid w:val="00610CC1"/>
    <w:rsid w:val="006148F0"/>
    <w:rsid w:val="0062056E"/>
    <w:rsid w:val="0062566D"/>
    <w:rsid w:val="006266D2"/>
    <w:rsid w:val="00626B60"/>
    <w:rsid w:val="0063190D"/>
    <w:rsid w:val="006328E4"/>
    <w:rsid w:val="006338E4"/>
    <w:rsid w:val="00634DBC"/>
    <w:rsid w:val="0063566D"/>
    <w:rsid w:val="0064281A"/>
    <w:rsid w:val="0064516A"/>
    <w:rsid w:val="006470E4"/>
    <w:rsid w:val="0065162A"/>
    <w:rsid w:val="006522B1"/>
    <w:rsid w:val="00652DE8"/>
    <w:rsid w:val="00653CCC"/>
    <w:rsid w:val="0065406C"/>
    <w:rsid w:val="00654998"/>
    <w:rsid w:val="00655EA5"/>
    <w:rsid w:val="00656C05"/>
    <w:rsid w:val="00656C64"/>
    <w:rsid w:val="00656CE6"/>
    <w:rsid w:val="00663C8B"/>
    <w:rsid w:val="006665A1"/>
    <w:rsid w:val="00667C53"/>
    <w:rsid w:val="0067006F"/>
    <w:rsid w:val="00672A86"/>
    <w:rsid w:val="0067491F"/>
    <w:rsid w:val="00680553"/>
    <w:rsid w:val="006813FA"/>
    <w:rsid w:val="00686D87"/>
    <w:rsid w:val="00692041"/>
    <w:rsid w:val="0069699B"/>
    <w:rsid w:val="006A06BE"/>
    <w:rsid w:val="006A6FA1"/>
    <w:rsid w:val="006A70AE"/>
    <w:rsid w:val="006A72C2"/>
    <w:rsid w:val="006B1BA3"/>
    <w:rsid w:val="006B2A10"/>
    <w:rsid w:val="006B302C"/>
    <w:rsid w:val="006B55E3"/>
    <w:rsid w:val="006B69A7"/>
    <w:rsid w:val="006C12ED"/>
    <w:rsid w:val="006C2770"/>
    <w:rsid w:val="006C2C07"/>
    <w:rsid w:val="006C3501"/>
    <w:rsid w:val="006C6D4B"/>
    <w:rsid w:val="006C72B8"/>
    <w:rsid w:val="006C79E0"/>
    <w:rsid w:val="006D3135"/>
    <w:rsid w:val="006D33DD"/>
    <w:rsid w:val="006D59A9"/>
    <w:rsid w:val="006D7039"/>
    <w:rsid w:val="006D7B88"/>
    <w:rsid w:val="006E0487"/>
    <w:rsid w:val="006E1396"/>
    <w:rsid w:val="006E404E"/>
    <w:rsid w:val="006E693B"/>
    <w:rsid w:val="006E7385"/>
    <w:rsid w:val="006F3D26"/>
    <w:rsid w:val="006F4022"/>
    <w:rsid w:val="006F7199"/>
    <w:rsid w:val="006F7680"/>
    <w:rsid w:val="0070305C"/>
    <w:rsid w:val="0071012A"/>
    <w:rsid w:val="00710B91"/>
    <w:rsid w:val="00712033"/>
    <w:rsid w:val="00721AAD"/>
    <w:rsid w:val="00721F63"/>
    <w:rsid w:val="007261EC"/>
    <w:rsid w:val="0073372F"/>
    <w:rsid w:val="007402A8"/>
    <w:rsid w:val="00743473"/>
    <w:rsid w:val="00750A7A"/>
    <w:rsid w:val="00753C4D"/>
    <w:rsid w:val="00756876"/>
    <w:rsid w:val="00761C85"/>
    <w:rsid w:val="00762C5B"/>
    <w:rsid w:val="007646A6"/>
    <w:rsid w:val="007665F4"/>
    <w:rsid w:val="00771BB8"/>
    <w:rsid w:val="00774655"/>
    <w:rsid w:val="00776B79"/>
    <w:rsid w:val="00776D28"/>
    <w:rsid w:val="0077740B"/>
    <w:rsid w:val="0078045E"/>
    <w:rsid w:val="00785488"/>
    <w:rsid w:val="00786BFD"/>
    <w:rsid w:val="0079202B"/>
    <w:rsid w:val="007932F0"/>
    <w:rsid w:val="007A1152"/>
    <w:rsid w:val="007A1380"/>
    <w:rsid w:val="007B29BC"/>
    <w:rsid w:val="007B3D13"/>
    <w:rsid w:val="007B3DAC"/>
    <w:rsid w:val="007B43D4"/>
    <w:rsid w:val="007B5F8B"/>
    <w:rsid w:val="007B6DCA"/>
    <w:rsid w:val="007B75F5"/>
    <w:rsid w:val="007C0036"/>
    <w:rsid w:val="007C0761"/>
    <w:rsid w:val="007C2885"/>
    <w:rsid w:val="007C749D"/>
    <w:rsid w:val="007D15B1"/>
    <w:rsid w:val="007D4EC6"/>
    <w:rsid w:val="007D4F40"/>
    <w:rsid w:val="007D6060"/>
    <w:rsid w:val="007D72AC"/>
    <w:rsid w:val="007E6D28"/>
    <w:rsid w:val="007F2282"/>
    <w:rsid w:val="007F510D"/>
    <w:rsid w:val="00801E5C"/>
    <w:rsid w:val="008050BA"/>
    <w:rsid w:val="00810731"/>
    <w:rsid w:val="00811F63"/>
    <w:rsid w:val="008129EB"/>
    <w:rsid w:val="00812B7E"/>
    <w:rsid w:val="00812FA5"/>
    <w:rsid w:val="00816F98"/>
    <w:rsid w:val="008174C9"/>
    <w:rsid w:val="00821BEC"/>
    <w:rsid w:val="00821D89"/>
    <w:rsid w:val="008227E0"/>
    <w:rsid w:val="008258F1"/>
    <w:rsid w:val="00827515"/>
    <w:rsid w:val="00827E68"/>
    <w:rsid w:val="00831035"/>
    <w:rsid w:val="008314CE"/>
    <w:rsid w:val="008326C1"/>
    <w:rsid w:val="00834541"/>
    <w:rsid w:val="00837909"/>
    <w:rsid w:val="00841604"/>
    <w:rsid w:val="00844BBD"/>
    <w:rsid w:val="0084502D"/>
    <w:rsid w:val="00845C7F"/>
    <w:rsid w:val="0084624D"/>
    <w:rsid w:val="00853342"/>
    <w:rsid w:val="008566F6"/>
    <w:rsid w:val="00864342"/>
    <w:rsid w:val="00876EC1"/>
    <w:rsid w:val="0087710C"/>
    <w:rsid w:val="00890F88"/>
    <w:rsid w:val="00891C4A"/>
    <w:rsid w:val="00893D51"/>
    <w:rsid w:val="00894530"/>
    <w:rsid w:val="008951D9"/>
    <w:rsid w:val="00896248"/>
    <w:rsid w:val="008A11ED"/>
    <w:rsid w:val="008A256C"/>
    <w:rsid w:val="008A3F33"/>
    <w:rsid w:val="008A4A66"/>
    <w:rsid w:val="008A709A"/>
    <w:rsid w:val="008B1CDA"/>
    <w:rsid w:val="008B2495"/>
    <w:rsid w:val="008B34C3"/>
    <w:rsid w:val="008C1AC7"/>
    <w:rsid w:val="008C52E9"/>
    <w:rsid w:val="008C6B25"/>
    <w:rsid w:val="008C6FE8"/>
    <w:rsid w:val="008E275F"/>
    <w:rsid w:val="008E376C"/>
    <w:rsid w:val="008E54E2"/>
    <w:rsid w:val="008E7D13"/>
    <w:rsid w:val="008F1B38"/>
    <w:rsid w:val="008F57F1"/>
    <w:rsid w:val="008F6E69"/>
    <w:rsid w:val="008F749D"/>
    <w:rsid w:val="00900414"/>
    <w:rsid w:val="00905972"/>
    <w:rsid w:val="0091055B"/>
    <w:rsid w:val="00913B24"/>
    <w:rsid w:val="00913ED5"/>
    <w:rsid w:val="0091448B"/>
    <w:rsid w:val="00914EEE"/>
    <w:rsid w:val="00915804"/>
    <w:rsid w:val="00915D13"/>
    <w:rsid w:val="00915FFD"/>
    <w:rsid w:val="0091612D"/>
    <w:rsid w:val="009201E0"/>
    <w:rsid w:val="00920E54"/>
    <w:rsid w:val="00922D6C"/>
    <w:rsid w:val="0092308D"/>
    <w:rsid w:val="00923EEB"/>
    <w:rsid w:val="00931FDF"/>
    <w:rsid w:val="00932256"/>
    <w:rsid w:val="00934920"/>
    <w:rsid w:val="00936DED"/>
    <w:rsid w:val="009404E4"/>
    <w:rsid w:val="0094513D"/>
    <w:rsid w:val="00946F9E"/>
    <w:rsid w:val="00950389"/>
    <w:rsid w:val="0095306A"/>
    <w:rsid w:val="00956C06"/>
    <w:rsid w:val="00961CA2"/>
    <w:rsid w:val="00962664"/>
    <w:rsid w:val="009628CD"/>
    <w:rsid w:val="00963520"/>
    <w:rsid w:val="00966915"/>
    <w:rsid w:val="00967833"/>
    <w:rsid w:val="009777E2"/>
    <w:rsid w:val="0098429F"/>
    <w:rsid w:val="00984664"/>
    <w:rsid w:val="00985357"/>
    <w:rsid w:val="00985AB7"/>
    <w:rsid w:val="00987D17"/>
    <w:rsid w:val="0099071C"/>
    <w:rsid w:val="00991237"/>
    <w:rsid w:val="009920EE"/>
    <w:rsid w:val="00992947"/>
    <w:rsid w:val="00994C36"/>
    <w:rsid w:val="009977FF"/>
    <w:rsid w:val="00997DF1"/>
    <w:rsid w:val="009B0BAC"/>
    <w:rsid w:val="009B30D2"/>
    <w:rsid w:val="009B41AD"/>
    <w:rsid w:val="009B6723"/>
    <w:rsid w:val="009C1013"/>
    <w:rsid w:val="009C1C85"/>
    <w:rsid w:val="009C2FC5"/>
    <w:rsid w:val="009C5E4F"/>
    <w:rsid w:val="009C6B7B"/>
    <w:rsid w:val="009C74B9"/>
    <w:rsid w:val="009C7E9F"/>
    <w:rsid w:val="009D45C3"/>
    <w:rsid w:val="009D490E"/>
    <w:rsid w:val="009D69AB"/>
    <w:rsid w:val="009E0A12"/>
    <w:rsid w:val="009E1A89"/>
    <w:rsid w:val="009E633D"/>
    <w:rsid w:val="009E721C"/>
    <w:rsid w:val="009F0A85"/>
    <w:rsid w:val="009F0D2F"/>
    <w:rsid w:val="009F10DF"/>
    <w:rsid w:val="009F12A2"/>
    <w:rsid w:val="009F3610"/>
    <w:rsid w:val="009F3E6C"/>
    <w:rsid w:val="009F433E"/>
    <w:rsid w:val="009F56EA"/>
    <w:rsid w:val="009F5CAA"/>
    <w:rsid w:val="009F6403"/>
    <w:rsid w:val="009F67C9"/>
    <w:rsid w:val="009F7BC9"/>
    <w:rsid w:val="00A04B6B"/>
    <w:rsid w:val="00A05FC3"/>
    <w:rsid w:val="00A11F25"/>
    <w:rsid w:val="00A138AB"/>
    <w:rsid w:val="00A13AAA"/>
    <w:rsid w:val="00A14547"/>
    <w:rsid w:val="00A1555A"/>
    <w:rsid w:val="00A20481"/>
    <w:rsid w:val="00A33DBA"/>
    <w:rsid w:val="00A34929"/>
    <w:rsid w:val="00A35880"/>
    <w:rsid w:val="00A37466"/>
    <w:rsid w:val="00A40DA9"/>
    <w:rsid w:val="00A4162C"/>
    <w:rsid w:val="00A43C4E"/>
    <w:rsid w:val="00A442BD"/>
    <w:rsid w:val="00A50335"/>
    <w:rsid w:val="00A52A56"/>
    <w:rsid w:val="00A54ECE"/>
    <w:rsid w:val="00A556DF"/>
    <w:rsid w:val="00A55BE9"/>
    <w:rsid w:val="00A57DD3"/>
    <w:rsid w:val="00A603B8"/>
    <w:rsid w:val="00A61744"/>
    <w:rsid w:val="00A62C42"/>
    <w:rsid w:val="00A66711"/>
    <w:rsid w:val="00A73219"/>
    <w:rsid w:val="00A742AA"/>
    <w:rsid w:val="00A83359"/>
    <w:rsid w:val="00A83E27"/>
    <w:rsid w:val="00A84CF4"/>
    <w:rsid w:val="00A875FE"/>
    <w:rsid w:val="00A9422C"/>
    <w:rsid w:val="00AA0B33"/>
    <w:rsid w:val="00AA0E09"/>
    <w:rsid w:val="00AA28AE"/>
    <w:rsid w:val="00AA40B7"/>
    <w:rsid w:val="00AB1D88"/>
    <w:rsid w:val="00AB307A"/>
    <w:rsid w:val="00AC0A94"/>
    <w:rsid w:val="00AC2003"/>
    <w:rsid w:val="00AC25C7"/>
    <w:rsid w:val="00AC3A9F"/>
    <w:rsid w:val="00AC5E73"/>
    <w:rsid w:val="00AC71B1"/>
    <w:rsid w:val="00AD2FAF"/>
    <w:rsid w:val="00AD46CE"/>
    <w:rsid w:val="00AD794C"/>
    <w:rsid w:val="00AE2A35"/>
    <w:rsid w:val="00AE6FF7"/>
    <w:rsid w:val="00AF016B"/>
    <w:rsid w:val="00AF033C"/>
    <w:rsid w:val="00B01B58"/>
    <w:rsid w:val="00B044B9"/>
    <w:rsid w:val="00B059C5"/>
    <w:rsid w:val="00B06AF6"/>
    <w:rsid w:val="00B07D34"/>
    <w:rsid w:val="00B10A9D"/>
    <w:rsid w:val="00B10D16"/>
    <w:rsid w:val="00B12604"/>
    <w:rsid w:val="00B20D13"/>
    <w:rsid w:val="00B23A7F"/>
    <w:rsid w:val="00B30075"/>
    <w:rsid w:val="00B317B3"/>
    <w:rsid w:val="00B3233A"/>
    <w:rsid w:val="00B323AA"/>
    <w:rsid w:val="00B41928"/>
    <w:rsid w:val="00B46308"/>
    <w:rsid w:val="00B50FDB"/>
    <w:rsid w:val="00B5319F"/>
    <w:rsid w:val="00B53C0C"/>
    <w:rsid w:val="00B54E11"/>
    <w:rsid w:val="00B55A42"/>
    <w:rsid w:val="00B601A7"/>
    <w:rsid w:val="00B60CC8"/>
    <w:rsid w:val="00B618D0"/>
    <w:rsid w:val="00B62C4D"/>
    <w:rsid w:val="00B631FE"/>
    <w:rsid w:val="00B66B65"/>
    <w:rsid w:val="00B66FAA"/>
    <w:rsid w:val="00B71EB6"/>
    <w:rsid w:val="00B73EF9"/>
    <w:rsid w:val="00B7748C"/>
    <w:rsid w:val="00B80B24"/>
    <w:rsid w:val="00B8181F"/>
    <w:rsid w:val="00B81CD9"/>
    <w:rsid w:val="00BA1028"/>
    <w:rsid w:val="00BA1394"/>
    <w:rsid w:val="00BB50B0"/>
    <w:rsid w:val="00BB5371"/>
    <w:rsid w:val="00BB61BD"/>
    <w:rsid w:val="00BB62EF"/>
    <w:rsid w:val="00BC5B8D"/>
    <w:rsid w:val="00BD3D69"/>
    <w:rsid w:val="00BD5293"/>
    <w:rsid w:val="00BD63B9"/>
    <w:rsid w:val="00BE11C3"/>
    <w:rsid w:val="00BE29D9"/>
    <w:rsid w:val="00BE41F3"/>
    <w:rsid w:val="00BE7143"/>
    <w:rsid w:val="00BE7C3F"/>
    <w:rsid w:val="00BF2F60"/>
    <w:rsid w:val="00BF43AE"/>
    <w:rsid w:val="00BF4F0B"/>
    <w:rsid w:val="00BF58E0"/>
    <w:rsid w:val="00BF7967"/>
    <w:rsid w:val="00C02F91"/>
    <w:rsid w:val="00C03C36"/>
    <w:rsid w:val="00C07448"/>
    <w:rsid w:val="00C127A9"/>
    <w:rsid w:val="00C227AF"/>
    <w:rsid w:val="00C24729"/>
    <w:rsid w:val="00C24DAE"/>
    <w:rsid w:val="00C25B76"/>
    <w:rsid w:val="00C25BC0"/>
    <w:rsid w:val="00C26C18"/>
    <w:rsid w:val="00C276BA"/>
    <w:rsid w:val="00C305AE"/>
    <w:rsid w:val="00C33CBF"/>
    <w:rsid w:val="00C35B83"/>
    <w:rsid w:val="00C36600"/>
    <w:rsid w:val="00C426C0"/>
    <w:rsid w:val="00C4287E"/>
    <w:rsid w:val="00C44AF7"/>
    <w:rsid w:val="00C45638"/>
    <w:rsid w:val="00C46E81"/>
    <w:rsid w:val="00C4723C"/>
    <w:rsid w:val="00C4762C"/>
    <w:rsid w:val="00C60321"/>
    <w:rsid w:val="00C60B23"/>
    <w:rsid w:val="00C658E1"/>
    <w:rsid w:val="00C67BEC"/>
    <w:rsid w:val="00C70A8F"/>
    <w:rsid w:val="00C7260A"/>
    <w:rsid w:val="00C733BC"/>
    <w:rsid w:val="00C739BE"/>
    <w:rsid w:val="00C74612"/>
    <w:rsid w:val="00C74EDF"/>
    <w:rsid w:val="00C763DF"/>
    <w:rsid w:val="00C76455"/>
    <w:rsid w:val="00C77F32"/>
    <w:rsid w:val="00C8123F"/>
    <w:rsid w:val="00C827CD"/>
    <w:rsid w:val="00C861EE"/>
    <w:rsid w:val="00C90C92"/>
    <w:rsid w:val="00C9113D"/>
    <w:rsid w:val="00C93F4E"/>
    <w:rsid w:val="00C95BB9"/>
    <w:rsid w:val="00C97FA0"/>
    <w:rsid w:val="00CA3AEE"/>
    <w:rsid w:val="00CA465E"/>
    <w:rsid w:val="00CB183F"/>
    <w:rsid w:val="00CB301A"/>
    <w:rsid w:val="00CB3606"/>
    <w:rsid w:val="00CB61AC"/>
    <w:rsid w:val="00CB7FEB"/>
    <w:rsid w:val="00CC00CF"/>
    <w:rsid w:val="00CC228E"/>
    <w:rsid w:val="00CC2B10"/>
    <w:rsid w:val="00CC4263"/>
    <w:rsid w:val="00CC5EEB"/>
    <w:rsid w:val="00CC6FEE"/>
    <w:rsid w:val="00CE2AE9"/>
    <w:rsid w:val="00CE50C8"/>
    <w:rsid w:val="00CE578F"/>
    <w:rsid w:val="00CE67A0"/>
    <w:rsid w:val="00CF1DCB"/>
    <w:rsid w:val="00CF4725"/>
    <w:rsid w:val="00CF6FCF"/>
    <w:rsid w:val="00D01AD6"/>
    <w:rsid w:val="00D02543"/>
    <w:rsid w:val="00D056B1"/>
    <w:rsid w:val="00D1620A"/>
    <w:rsid w:val="00D22B57"/>
    <w:rsid w:val="00D24017"/>
    <w:rsid w:val="00D25A43"/>
    <w:rsid w:val="00D27C06"/>
    <w:rsid w:val="00D32385"/>
    <w:rsid w:val="00D32E6F"/>
    <w:rsid w:val="00D360C3"/>
    <w:rsid w:val="00D439D1"/>
    <w:rsid w:val="00D4616C"/>
    <w:rsid w:val="00D46865"/>
    <w:rsid w:val="00D46AC4"/>
    <w:rsid w:val="00D54641"/>
    <w:rsid w:val="00D549B5"/>
    <w:rsid w:val="00D55188"/>
    <w:rsid w:val="00D56F3C"/>
    <w:rsid w:val="00D604C6"/>
    <w:rsid w:val="00D610DB"/>
    <w:rsid w:val="00D616A1"/>
    <w:rsid w:val="00D61B23"/>
    <w:rsid w:val="00D63708"/>
    <w:rsid w:val="00D64A93"/>
    <w:rsid w:val="00D6595D"/>
    <w:rsid w:val="00D71437"/>
    <w:rsid w:val="00D7209B"/>
    <w:rsid w:val="00D76997"/>
    <w:rsid w:val="00D76E4B"/>
    <w:rsid w:val="00D847BB"/>
    <w:rsid w:val="00D8492D"/>
    <w:rsid w:val="00D85B12"/>
    <w:rsid w:val="00D87B22"/>
    <w:rsid w:val="00D87D31"/>
    <w:rsid w:val="00D9276B"/>
    <w:rsid w:val="00D93EE7"/>
    <w:rsid w:val="00D972F1"/>
    <w:rsid w:val="00DA00CB"/>
    <w:rsid w:val="00DA1FE6"/>
    <w:rsid w:val="00DA3618"/>
    <w:rsid w:val="00DA50EB"/>
    <w:rsid w:val="00DA5779"/>
    <w:rsid w:val="00DB039C"/>
    <w:rsid w:val="00DB114E"/>
    <w:rsid w:val="00DB1724"/>
    <w:rsid w:val="00DB24B0"/>
    <w:rsid w:val="00DB370A"/>
    <w:rsid w:val="00DB669F"/>
    <w:rsid w:val="00DD0786"/>
    <w:rsid w:val="00DD24B4"/>
    <w:rsid w:val="00DD3B87"/>
    <w:rsid w:val="00DD3D27"/>
    <w:rsid w:val="00DD3DB5"/>
    <w:rsid w:val="00DD64EA"/>
    <w:rsid w:val="00DE1668"/>
    <w:rsid w:val="00DE2CDF"/>
    <w:rsid w:val="00DE4BF4"/>
    <w:rsid w:val="00DF0317"/>
    <w:rsid w:val="00DF1DBC"/>
    <w:rsid w:val="00DF35C6"/>
    <w:rsid w:val="00DF45DC"/>
    <w:rsid w:val="00DF6B60"/>
    <w:rsid w:val="00DF786B"/>
    <w:rsid w:val="00DF7906"/>
    <w:rsid w:val="00E079CF"/>
    <w:rsid w:val="00E104E5"/>
    <w:rsid w:val="00E11364"/>
    <w:rsid w:val="00E11773"/>
    <w:rsid w:val="00E13BAC"/>
    <w:rsid w:val="00E2123D"/>
    <w:rsid w:val="00E22A42"/>
    <w:rsid w:val="00E23B0C"/>
    <w:rsid w:val="00E2449C"/>
    <w:rsid w:val="00E270F9"/>
    <w:rsid w:val="00E27212"/>
    <w:rsid w:val="00E27453"/>
    <w:rsid w:val="00E30016"/>
    <w:rsid w:val="00E3030B"/>
    <w:rsid w:val="00E30DE1"/>
    <w:rsid w:val="00E33211"/>
    <w:rsid w:val="00E35FCA"/>
    <w:rsid w:val="00E36315"/>
    <w:rsid w:val="00E3638F"/>
    <w:rsid w:val="00E36D07"/>
    <w:rsid w:val="00E379F5"/>
    <w:rsid w:val="00E429D5"/>
    <w:rsid w:val="00E449E5"/>
    <w:rsid w:val="00E44E57"/>
    <w:rsid w:val="00E47122"/>
    <w:rsid w:val="00E520EF"/>
    <w:rsid w:val="00E526EB"/>
    <w:rsid w:val="00E53C13"/>
    <w:rsid w:val="00E613DD"/>
    <w:rsid w:val="00E6216F"/>
    <w:rsid w:val="00E63C91"/>
    <w:rsid w:val="00E6699E"/>
    <w:rsid w:val="00E67AF9"/>
    <w:rsid w:val="00E721E5"/>
    <w:rsid w:val="00E72361"/>
    <w:rsid w:val="00E737D7"/>
    <w:rsid w:val="00E739C7"/>
    <w:rsid w:val="00E75FD3"/>
    <w:rsid w:val="00E8740B"/>
    <w:rsid w:val="00E93E4D"/>
    <w:rsid w:val="00EA0662"/>
    <w:rsid w:val="00EA1427"/>
    <w:rsid w:val="00EA2F75"/>
    <w:rsid w:val="00EA64AC"/>
    <w:rsid w:val="00EA79C4"/>
    <w:rsid w:val="00EA7C61"/>
    <w:rsid w:val="00EB2775"/>
    <w:rsid w:val="00EB3620"/>
    <w:rsid w:val="00EB5E3A"/>
    <w:rsid w:val="00EB7CD6"/>
    <w:rsid w:val="00EC0271"/>
    <w:rsid w:val="00EC3A18"/>
    <w:rsid w:val="00EC4ED3"/>
    <w:rsid w:val="00EC4FB2"/>
    <w:rsid w:val="00EC65CF"/>
    <w:rsid w:val="00ED4A71"/>
    <w:rsid w:val="00EE00B4"/>
    <w:rsid w:val="00EE1E74"/>
    <w:rsid w:val="00EE7AEF"/>
    <w:rsid w:val="00EF3EBD"/>
    <w:rsid w:val="00F009F5"/>
    <w:rsid w:val="00F0290A"/>
    <w:rsid w:val="00F05219"/>
    <w:rsid w:val="00F07414"/>
    <w:rsid w:val="00F0761F"/>
    <w:rsid w:val="00F10267"/>
    <w:rsid w:val="00F121BD"/>
    <w:rsid w:val="00F129D8"/>
    <w:rsid w:val="00F14F48"/>
    <w:rsid w:val="00F178C0"/>
    <w:rsid w:val="00F23D15"/>
    <w:rsid w:val="00F26C2D"/>
    <w:rsid w:val="00F30164"/>
    <w:rsid w:val="00F32525"/>
    <w:rsid w:val="00F354AD"/>
    <w:rsid w:val="00F36DD8"/>
    <w:rsid w:val="00F40A13"/>
    <w:rsid w:val="00F4172D"/>
    <w:rsid w:val="00F4198D"/>
    <w:rsid w:val="00F429E0"/>
    <w:rsid w:val="00F43A74"/>
    <w:rsid w:val="00F46291"/>
    <w:rsid w:val="00F50AA4"/>
    <w:rsid w:val="00F537BA"/>
    <w:rsid w:val="00F53A0F"/>
    <w:rsid w:val="00F53A4C"/>
    <w:rsid w:val="00F575FA"/>
    <w:rsid w:val="00F604A1"/>
    <w:rsid w:val="00F650B2"/>
    <w:rsid w:val="00F81991"/>
    <w:rsid w:val="00F81BE3"/>
    <w:rsid w:val="00F85D02"/>
    <w:rsid w:val="00F85F43"/>
    <w:rsid w:val="00F90EE6"/>
    <w:rsid w:val="00F92A7C"/>
    <w:rsid w:val="00F92F73"/>
    <w:rsid w:val="00F9634B"/>
    <w:rsid w:val="00FA1649"/>
    <w:rsid w:val="00FA4B11"/>
    <w:rsid w:val="00FA75A9"/>
    <w:rsid w:val="00FB1AA2"/>
    <w:rsid w:val="00FB1F2A"/>
    <w:rsid w:val="00FB7F84"/>
    <w:rsid w:val="00FC46DA"/>
    <w:rsid w:val="00FC706D"/>
    <w:rsid w:val="00FC74A2"/>
    <w:rsid w:val="00FD0D95"/>
    <w:rsid w:val="00FD3CB6"/>
    <w:rsid w:val="00FD63F6"/>
    <w:rsid w:val="00FE7687"/>
    <w:rsid w:val="00FF150B"/>
    <w:rsid w:val="00FF30F7"/>
    <w:rsid w:val="00FF3BAF"/>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E675B"/>
  <w15:docId w15:val="{5CB0685D-6420-44EB-ADBC-D95FBD0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1F1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1D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1DA4"/>
    <w:pPr>
      <w:keepNext/>
      <w:spacing w:before="240" w:after="60"/>
      <w:outlineLvl w:val="2"/>
    </w:pPr>
    <w:rPr>
      <w:rFonts w:ascii="Arial" w:hAnsi="Arial" w:cs="Arial"/>
      <w:b/>
      <w:bCs/>
      <w:sz w:val="26"/>
      <w:szCs w:val="26"/>
    </w:rPr>
  </w:style>
  <w:style w:type="paragraph" w:styleId="Heading4">
    <w:name w:val="heading 4"/>
    <w:basedOn w:val="Normal"/>
    <w:next w:val="Normal"/>
    <w:qFormat/>
    <w:rsid w:val="001F1DA4"/>
    <w:pPr>
      <w:keepNext/>
      <w:spacing w:before="240" w:after="60"/>
      <w:outlineLvl w:val="3"/>
    </w:pPr>
    <w:rPr>
      <w:b/>
      <w:bCs/>
      <w:sz w:val="28"/>
      <w:szCs w:val="28"/>
    </w:rPr>
  </w:style>
  <w:style w:type="paragraph" w:styleId="Heading5">
    <w:name w:val="heading 5"/>
    <w:basedOn w:val="Normal"/>
    <w:next w:val="Normal"/>
    <w:qFormat/>
    <w:rsid w:val="00B71EB6"/>
    <w:pPr>
      <w:keepNext/>
      <w:jc w:val="center"/>
      <w:outlineLvl w:val="4"/>
    </w:pPr>
    <w:rPr>
      <w:rFonts w:ascii="Arial Rounded MT Bold" w:eastAsia="Times New Roman" w:hAnsi="Arial Rounded MT Bold"/>
      <w:sz w:val="72"/>
      <w:szCs w:val="20"/>
    </w:rPr>
  </w:style>
  <w:style w:type="paragraph" w:styleId="Heading6">
    <w:name w:val="heading 6"/>
    <w:basedOn w:val="Normal"/>
    <w:next w:val="Normal"/>
    <w:qFormat/>
    <w:rsid w:val="00B71EB6"/>
    <w:pPr>
      <w:keepNext/>
      <w:jc w:val="center"/>
      <w:outlineLvl w:val="5"/>
    </w:pPr>
    <w:rPr>
      <w:rFonts w:eastAsia="Times New Roman"/>
      <w:b/>
      <w:i/>
      <w:sz w:val="20"/>
      <w:szCs w:val="20"/>
    </w:rPr>
  </w:style>
  <w:style w:type="paragraph" w:styleId="Heading7">
    <w:name w:val="heading 7"/>
    <w:basedOn w:val="Normal"/>
    <w:next w:val="Normal"/>
    <w:qFormat/>
    <w:rsid w:val="00B71EB6"/>
    <w:pPr>
      <w:keepNext/>
      <w:jc w:val="center"/>
      <w:outlineLvl w:val="6"/>
    </w:pPr>
    <w:rPr>
      <w:rFonts w:eastAsia="Times New Roman"/>
      <w:b/>
      <w:sz w:val="20"/>
      <w:szCs w:val="20"/>
    </w:rPr>
  </w:style>
  <w:style w:type="paragraph" w:styleId="Heading8">
    <w:name w:val="heading 8"/>
    <w:basedOn w:val="Normal"/>
    <w:next w:val="Normal"/>
    <w:qFormat/>
    <w:rsid w:val="00896248"/>
    <w:pPr>
      <w:keepNext/>
      <w:tabs>
        <w:tab w:val="left" w:pos="990"/>
        <w:tab w:val="right" w:leader="dot" w:pos="7110"/>
      </w:tabs>
      <w:jc w:val="center"/>
      <w:outlineLvl w:val="7"/>
    </w:pPr>
    <w:rPr>
      <w:rFonts w:eastAsia="Times New Roman"/>
      <w:b/>
      <w:sz w:val="28"/>
      <w:szCs w:val="20"/>
    </w:rPr>
  </w:style>
  <w:style w:type="paragraph" w:styleId="Heading9">
    <w:name w:val="heading 9"/>
    <w:basedOn w:val="Normal"/>
    <w:next w:val="Normal"/>
    <w:qFormat/>
    <w:rsid w:val="00C763DF"/>
    <w:pPr>
      <w:keepNext/>
      <w:tabs>
        <w:tab w:val="left" w:pos="720"/>
        <w:tab w:val="center" w:pos="5310"/>
        <w:tab w:val="center" w:pos="6840"/>
      </w:tabs>
      <w:ind w:lef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EB6"/>
    <w:pPr>
      <w:tabs>
        <w:tab w:val="center" w:pos="4320"/>
        <w:tab w:val="right" w:pos="8640"/>
      </w:tabs>
    </w:pPr>
    <w:rPr>
      <w:rFonts w:eastAsia="Times New Roman"/>
      <w:sz w:val="20"/>
      <w:szCs w:val="20"/>
    </w:rPr>
  </w:style>
  <w:style w:type="paragraph" w:styleId="Header">
    <w:name w:val="header"/>
    <w:basedOn w:val="Normal"/>
    <w:rsid w:val="00E6699E"/>
    <w:pPr>
      <w:tabs>
        <w:tab w:val="center" w:pos="4320"/>
        <w:tab w:val="right" w:pos="8640"/>
      </w:tabs>
    </w:pPr>
  </w:style>
  <w:style w:type="character" w:styleId="PageNumber">
    <w:name w:val="page number"/>
    <w:basedOn w:val="DefaultParagraphFont"/>
    <w:rsid w:val="00E6699E"/>
  </w:style>
  <w:style w:type="paragraph" w:styleId="BodyTextIndent">
    <w:name w:val="Body Text Indent"/>
    <w:basedOn w:val="Normal"/>
    <w:rsid w:val="00896248"/>
    <w:pPr>
      <w:tabs>
        <w:tab w:val="left" w:pos="990"/>
        <w:tab w:val="right" w:leader="dot" w:pos="7110"/>
      </w:tabs>
      <w:ind w:left="720"/>
    </w:pPr>
    <w:rPr>
      <w:rFonts w:eastAsia="Times New Roman"/>
      <w:szCs w:val="20"/>
    </w:rPr>
  </w:style>
  <w:style w:type="paragraph" w:styleId="BodyText">
    <w:name w:val="Body Text"/>
    <w:basedOn w:val="Normal"/>
    <w:rsid w:val="00896248"/>
    <w:pPr>
      <w:tabs>
        <w:tab w:val="left" w:pos="990"/>
        <w:tab w:val="right" w:leader="dot" w:pos="7110"/>
      </w:tabs>
    </w:pPr>
    <w:rPr>
      <w:rFonts w:eastAsia="Times New Roman"/>
      <w:sz w:val="16"/>
      <w:szCs w:val="20"/>
    </w:rPr>
  </w:style>
  <w:style w:type="paragraph" w:styleId="BodyText2">
    <w:name w:val="Body Text 2"/>
    <w:basedOn w:val="Normal"/>
    <w:rsid w:val="00896248"/>
    <w:rPr>
      <w:rFonts w:eastAsia="Times New Roman"/>
      <w:szCs w:val="20"/>
    </w:rPr>
  </w:style>
  <w:style w:type="paragraph" w:styleId="Title">
    <w:name w:val="Title"/>
    <w:basedOn w:val="Normal"/>
    <w:qFormat/>
    <w:rsid w:val="00896248"/>
    <w:pPr>
      <w:jc w:val="center"/>
    </w:pPr>
    <w:rPr>
      <w:rFonts w:eastAsia="Times New Roman"/>
      <w:b/>
      <w:szCs w:val="20"/>
    </w:rPr>
  </w:style>
  <w:style w:type="character" w:styleId="Hyperlink">
    <w:name w:val="Hyperlink"/>
    <w:rsid w:val="00C763DF"/>
    <w:rPr>
      <w:color w:val="0000FF"/>
      <w:u w:val="single"/>
    </w:rPr>
  </w:style>
  <w:style w:type="paragraph" w:styleId="BodyTextIndent2">
    <w:name w:val="Body Text Indent 2"/>
    <w:basedOn w:val="Normal"/>
    <w:rsid w:val="00C763DF"/>
    <w:pPr>
      <w:tabs>
        <w:tab w:val="left" w:pos="990"/>
        <w:tab w:val="right" w:leader="dot" w:pos="7110"/>
      </w:tabs>
      <w:ind w:left="720"/>
    </w:pPr>
    <w:rPr>
      <w:rFonts w:eastAsia="Times New Roman"/>
      <w:i/>
      <w:szCs w:val="20"/>
    </w:rPr>
  </w:style>
  <w:style w:type="paragraph" w:styleId="BodyTextIndent3">
    <w:name w:val="Body Text Inden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rFonts w:eastAsia="Times New Roman"/>
      <w:color w:val="000000"/>
      <w:szCs w:val="20"/>
    </w:rPr>
  </w:style>
  <w:style w:type="paragraph" w:styleId="BodyText3">
    <w:name w:val="Body Text 3"/>
    <w:basedOn w:val="Normal"/>
    <w:rsid w:val="00C76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eastAsia="Times New Roman"/>
      <w:color w:val="000000"/>
      <w:szCs w:val="20"/>
    </w:rPr>
  </w:style>
  <w:style w:type="paragraph" w:styleId="BalloonText">
    <w:name w:val="Balloon Text"/>
    <w:basedOn w:val="Normal"/>
    <w:semiHidden/>
    <w:rsid w:val="00C763DF"/>
    <w:rPr>
      <w:rFonts w:ascii="Tahoma" w:eastAsia="Times New Roman" w:hAnsi="Tahoma" w:cs="Tahoma"/>
      <w:sz w:val="16"/>
      <w:szCs w:val="16"/>
    </w:rPr>
  </w:style>
  <w:style w:type="character" w:styleId="CommentReference">
    <w:name w:val="annotation reference"/>
    <w:rsid w:val="007B3D13"/>
    <w:rPr>
      <w:sz w:val="16"/>
      <w:szCs w:val="16"/>
    </w:rPr>
  </w:style>
  <w:style w:type="paragraph" w:styleId="CommentText">
    <w:name w:val="annotation text"/>
    <w:basedOn w:val="Normal"/>
    <w:link w:val="CommentTextChar"/>
    <w:rsid w:val="007B3D13"/>
    <w:rPr>
      <w:sz w:val="20"/>
      <w:szCs w:val="20"/>
      <w:lang w:val="x-none"/>
    </w:rPr>
  </w:style>
  <w:style w:type="character" w:customStyle="1" w:styleId="CommentTextChar">
    <w:name w:val="Comment Text Char"/>
    <w:link w:val="CommentText"/>
    <w:rsid w:val="007B3D13"/>
    <w:rPr>
      <w:lang w:eastAsia="zh-CN"/>
    </w:rPr>
  </w:style>
  <w:style w:type="paragraph" w:styleId="CommentSubject">
    <w:name w:val="annotation subject"/>
    <w:basedOn w:val="CommentText"/>
    <w:next w:val="CommentText"/>
    <w:link w:val="CommentSubjectChar"/>
    <w:rsid w:val="007B3D13"/>
    <w:rPr>
      <w:b/>
      <w:bCs/>
    </w:rPr>
  </w:style>
  <w:style w:type="character" w:customStyle="1" w:styleId="CommentSubjectChar">
    <w:name w:val="Comment Subject Char"/>
    <w:link w:val="CommentSubject"/>
    <w:rsid w:val="007B3D13"/>
    <w:rPr>
      <w:b/>
      <w:bCs/>
      <w:lang w:eastAsia="zh-CN"/>
    </w:rPr>
  </w:style>
  <w:style w:type="paragraph" w:styleId="Revision">
    <w:name w:val="Revision"/>
    <w:hidden/>
    <w:uiPriority w:val="99"/>
    <w:semiHidden/>
    <w:rsid w:val="007B3D13"/>
    <w:rPr>
      <w:sz w:val="24"/>
      <w:szCs w:val="24"/>
      <w:lang w:eastAsia="zh-CN"/>
    </w:rPr>
  </w:style>
  <w:style w:type="paragraph" w:styleId="ListParagraph">
    <w:name w:val="List Paragraph"/>
    <w:basedOn w:val="Normal"/>
    <w:uiPriority w:val="34"/>
    <w:qFormat/>
    <w:rsid w:val="007B3D13"/>
    <w:pPr>
      <w:ind w:left="720"/>
    </w:pPr>
  </w:style>
  <w:style w:type="character" w:customStyle="1" w:styleId="FooterChar">
    <w:name w:val="Footer Char"/>
    <w:link w:val="Footer"/>
    <w:uiPriority w:val="99"/>
    <w:rsid w:val="007261EC"/>
    <w:rPr>
      <w:rFonts w:eastAsia="Times New Roman"/>
      <w:lang w:eastAsia="zh-CN"/>
    </w:rPr>
  </w:style>
  <w:style w:type="character" w:customStyle="1" w:styleId="apple-converted-space">
    <w:name w:val="apple-converted-space"/>
    <w:rsid w:val="00915804"/>
  </w:style>
  <w:style w:type="paragraph" w:styleId="NormalWeb">
    <w:name w:val="Normal (Web)"/>
    <w:basedOn w:val="Normal"/>
    <w:uiPriority w:val="99"/>
    <w:semiHidden/>
    <w:unhideWhenUsed/>
    <w:rsid w:val="006470E4"/>
    <w:pPr>
      <w:spacing w:before="100" w:beforeAutospacing="1" w:after="100" w:afterAutospacing="1"/>
    </w:pPr>
    <w:rPr>
      <w:rFonts w:eastAsia="Times New Roman"/>
      <w:lang w:eastAsia="en-US"/>
    </w:rPr>
  </w:style>
  <w:style w:type="character" w:styleId="Emphasis">
    <w:name w:val="Emphasis"/>
    <w:uiPriority w:val="20"/>
    <w:qFormat/>
    <w:rsid w:val="006470E4"/>
    <w:rPr>
      <w:i/>
      <w:iCs/>
    </w:rPr>
  </w:style>
  <w:style w:type="character" w:styleId="Strong">
    <w:name w:val="Strong"/>
    <w:uiPriority w:val="22"/>
    <w:qFormat/>
    <w:rsid w:val="00445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0120">
      <w:bodyDiv w:val="1"/>
      <w:marLeft w:val="0"/>
      <w:marRight w:val="0"/>
      <w:marTop w:val="0"/>
      <w:marBottom w:val="0"/>
      <w:divBdr>
        <w:top w:val="none" w:sz="0" w:space="0" w:color="auto"/>
        <w:left w:val="none" w:sz="0" w:space="0" w:color="auto"/>
        <w:bottom w:val="none" w:sz="0" w:space="0" w:color="auto"/>
        <w:right w:val="none" w:sz="0" w:space="0" w:color="auto"/>
      </w:divBdr>
    </w:div>
    <w:div w:id="316347606">
      <w:bodyDiv w:val="1"/>
      <w:marLeft w:val="0"/>
      <w:marRight w:val="0"/>
      <w:marTop w:val="0"/>
      <w:marBottom w:val="0"/>
      <w:divBdr>
        <w:top w:val="none" w:sz="0" w:space="0" w:color="auto"/>
        <w:left w:val="none" w:sz="0" w:space="0" w:color="auto"/>
        <w:bottom w:val="none" w:sz="0" w:space="0" w:color="auto"/>
        <w:right w:val="none" w:sz="0" w:space="0" w:color="auto"/>
      </w:divBdr>
    </w:div>
    <w:div w:id="483620370">
      <w:bodyDiv w:val="1"/>
      <w:marLeft w:val="0"/>
      <w:marRight w:val="0"/>
      <w:marTop w:val="0"/>
      <w:marBottom w:val="0"/>
      <w:divBdr>
        <w:top w:val="none" w:sz="0" w:space="0" w:color="auto"/>
        <w:left w:val="none" w:sz="0" w:space="0" w:color="auto"/>
        <w:bottom w:val="none" w:sz="0" w:space="0" w:color="auto"/>
        <w:right w:val="none" w:sz="0" w:space="0" w:color="auto"/>
      </w:divBdr>
    </w:div>
    <w:div w:id="510801942">
      <w:bodyDiv w:val="1"/>
      <w:marLeft w:val="0"/>
      <w:marRight w:val="0"/>
      <w:marTop w:val="0"/>
      <w:marBottom w:val="0"/>
      <w:divBdr>
        <w:top w:val="none" w:sz="0" w:space="0" w:color="auto"/>
        <w:left w:val="none" w:sz="0" w:space="0" w:color="auto"/>
        <w:bottom w:val="none" w:sz="0" w:space="0" w:color="auto"/>
        <w:right w:val="none" w:sz="0" w:space="0" w:color="auto"/>
      </w:divBdr>
    </w:div>
    <w:div w:id="569391759">
      <w:bodyDiv w:val="1"/>
      <w:marLeft w:val="0"/>
      <w:marRight w:val="0"/>
      <w:marTop w:val="0"/>
      <w:marBottom w:val="0"/>
      <w:divBdr>
        <w:top w:val="none" w:sz="0" w:space="0" w:color="auto"/>
        <w:left w:val="none" w:sz="0" w:space="0" w:color="auto"/>
        <w:bottom w:val="none" w:sz="0" w:space="0" w:color="auto"/>
        <w:right w:val="none" w:sz="0" w:space="0" w:color="auto"/>
      </w:divBdr>
    </w:div>
    <w:div w:id="759563919">
      <w:bodyDiv w:val="1"/>
      <w:marLeft w:val="0"/>
      <w:marRight w:val="0"/>
      <w:marTop w:val="0"/>
      <w:marBottom w:val="0"/>
      <w:divBdr>
        <w:top w:val="none" w:sz="0" w:space="0" w:color="auto"/>
        <w:left w:val="none" w:sz="0" w:space="0" w:color="auto"/>
        <w:bottom w:val="none" w:sz="0" w:space="0" w:color="auto"/>
        <w:right w:val="none" w:sz="0" w:space="0" w:color="auto"/>
      </w:divBdr>
    </w:div>
    <w:div w:id="777216796">
      <w:bodyDiv w:val="1"/>
      <w:marLeft w:val="0"/>
      <w:marRight w:val="0"/>
      <w:marTop w:val="0"/>
      <w:marBottom w:val="0"/>
      <w:divBdr>
        <w:top w:val="none" w:sz="0" w:space="0" w:color="auto"/>
        <w:left w:val="none" w:sz="0" w:space="0" w:color="auto"/>
        <w:bottom w:val="none" w:sz="0" w:space="0" w:color="auto"/>
        <w:right w:val="none" w:sz="0" w:space="0" w:color="auto"/>
      </w:divBdr>
      <w:divsChild>
        <w:div w:id="1934628660">
          <w:marLeft w:val="0"/>
          <w:marRight w:val="0"/>
          <w:marTop w:val="225"/>
          <w:marBottom w:val="150"/>
          <w:divBdr>
            <w:top w:val="none" w:sz="0" w:space="0" w:color="auto"/>
            <w:left w:val="none" w:sz="0" w:space="0" w:color="auto"/>
            <w:bottom w:val="none" w:sz="0" w:space="0" w:color="auto"/>
            <w:right w:val="none" w:sz="0" w:space="0" w:color="auto"/>
          </w:divBdr>
        </w:div>
      </w:divsChild>
    </w:div>
    <w:div w:id="902760432">
      <w:bodyDiv w:val="1"/>
      <w:marLeft w:val="0"/>
      <w:marRight w:val="0"/>
      <w:marTop w:val="0"/>
      <w:marBottom w:val="0"/>
      <w:divBdr>
        <w:top w:val="none" w:sz="0" w:space="0" w:color="auto"/>
        <w:left w:val="none" w:sz="0" w:space="0" w:color="auto"/>
        <w:bottom w:val="none" w:sz="0" w:space="0" w:color="auto"/>
        <w:right w:val="none" w:sz="0" w:space="0" w:color="auto"/>
      </w:divBdr>
    </w:div>
    <w:div w:id="951132099">
      <w:bodyDiv w:val="1"/>
      <w:marLeft w:val="0"/>
      <w:marRight w:val="0"/>
      <w:marTop w:val="0"/>
      <w:marBottom w:val="0"/>
      <w:divBdr>
        <w:top w:val="none" w:sz="0" w:space="0" w:color="auto"/>
        <w:left w:val="none" w:sz="0" w:space="0" w:color="auto"/>
        <w:bottom w:val="none" w:sz="0" w:space="0" w:color="auto"/>
        <w:right w:val="none" w:sz="0" w:space="0" w:color="auto"/>
      </w:divBdr>
      <w:divsChild>
        <w:div w:id="1407612800">
          <w:marLeft w:val="0"/>
          <w:marRight w:val="0"/>
          <w:marTop w:val="0"/>
          <w:marBottom w:val="0"/>
          <w:divBdr>
            <w:top w:val="none" w:sz="0" w:space="0" w:color="auto"/>
            <w:left w:val="none" w:sz="0" w:space="0" w:color="auto"/>
            <w:bottom w:val="none" w:sz="0" w:space="0" w:color="auto"/>
            <w:right w:val="none" w:sz="0" w:space="0" w:color="auto"/>
          </w:divBdr>
          <w:divsChild>
            <w:div w:id="1350644695">
              <w:marLeft w:val="0"/>
              <w:marRight w:val="0"/>
              <w:marTop w:val="150"/>
              <w:marBottom w:val="150"/>
              <w:divBdr>
                <w:top w:val="none" w:sz="0" w:space="0" w:color="auto"/>
                <w:left w:val="none" w:sz="0" w:space="0" w:color="auto"/>
                <w:bottom w:val="none" w:sz="0" w:space="0" w:color="auto"/>
                <w:right w:val="none" w:sz="0" w:space="0" w:color="auto"/>
              </w:divBdr>
            </w:div>
          </w:divsChild>
        </w:div>
        <w:div w:id="1444152769">
          <w:marLeft w:val="0"/>
          <w:marRight w:val="0"/>
          <w:marTop w:val="0"/>
          <w:marBottom w:val="0"/>
          <w:divBdr>
            <w:top w:val="none" w:sz="0" w:space="0" w:color="auto"/>
            <w:left w:val="none" w:sz="0" w:space="0" w:color="auto"/>
            <w:bottom w:val="none" w:sz="0" w:space="0" w:color="auto"/>
            <w:right w:val="none" w:sz="0" w:space="0" w:color="auto"/>
          </w:divBdr>
          <w:divsChild>
            <w:div w:id="641622051">
              <w:marLeft w:val="0"/>
              <w:marRight w:val="0"/>
              <w:marTop w:val="0"/>
              <w:marBottom w:val="0"/>
              <w:divBdr>
                <w:top w:val="none" w:sz="0" w:space="0" w:color="auto"/>
                <w:left w:val="none" w:sz="0" w:space="0" w:color="auto"/>
                <w:bottom w:val="none" w:sz="0" w:space="0" w:color="auto"/>
                <w:right w:val="none" w:sz="0" w:space="0" w:color="auto"/>
              </w:divBdr>
              <w:divsChild>
                <w:div w:id="1504709770">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057779646">
      <w:bodyDiv w:val="1"/>
      <w:marLeft w:val="0"/>
      <w:marRight w:val="0"/>
      <w:marTop w:val="0"/>
      <w:marBottom w:val="0"/>
      <w:divBdr>
        <w:top w:val="none" w:sz="0" w:space="0" w:color="auto"/>
        <w:left w:val="none" w:sz="0" w:space="0" w:color="auto"/>
        <w:bottom w:val="none" w:sz="0" w:space="0" w:color="auto"/>
        <w:right w:val="none" w:sz="0" w:space="0" w:color="auto"/>
      </w:divBdr>
    </w:div>
    <w:div w:id="1126698417">
      <w:bodyDiv w:val="1"/>
      <w:marLeft w:val="0"/>
      <w:marRight w:val="0"/>
      <w:marTop w:val="0"/>
      <w:marBottom w:val="0"/>
      <w:divBdr>
        <w:top w:val="none" w:sz="0" w:space="0" w:color="auto"/>
        <w:left w:val="none" w:sz="0" w:space="0" w:color="auto"/>
        <w:bottom w:val="none" w:sz="0" w:space="0" w:color="auto"/>
        <w:right w:val="none" w:sz="0" w:space="0" w:color="auto"/>
      </w:divBdr>
      <w:divsChild>
        <w:div w:id="1450903067">
          <w:marLeft w:val="0"/>
          <w:marRight w:val="0"/>
          <w:marTop w:val="0"/>
          <w:marBottom w:val="0"/>
          <w:divBdr>
            <w:top w:val="none" w:sz="0" w:space="0" w:color="auto"/>
            <w:left w:val="none" w:sz="0" w:space="0" w:color="auto"/>
            <w:bottom w:val="none" w:sz="0" w:space="0" w:color="auto"/>
            <w:right w:val="none" w:sz="0" w:space="0" w:color="auto"/>
          </w:divBdr>
          <w:divsChild>
            <w:div w:id="1863784058">
              <w:marLeft w:val="0"/>
              <w:marRight w:val="0"/>
              <w:marTop w:val="150"/>
              <w:marBottom w:val="150"/>
              <w:divBdr>
                <w:top w:val="none" w:sz="0" w:space="0" w:color="auto"/>
                <w:left w:val="none" w:sz="0" w:space="0" w:color="auto"/>
                <w:bottom w:val="none" w:sz="0" w:space="0" w:color="auto"/>
                <w:right w:val="none" w:sz="0" w:space="0" w:color="auto"/>
              </w:divBdr>
            </w:div>
          </w:divsChild>
        </w:div>
        <w:div w:id="864905822">
          <w:marLeft w:val="0"/>
          <w:marRight w:val="0"/>
          <w:marTop w:val="0"/>
          <w:marBottom w:val="0"/>
          <w:divBdr>
            <w:top w:val="none" w:sz="0" w:space="0" w:color="auto"/>
            <w:left w:val="none" w:sz="0" w:space="0" w:color="auto"/>
            <w:bottom w:val="none" w:sz="0" w:space="0" w:color="auto"/>
            <w:right w:val="none" w:sz="0" w:space="0" w:color="auto"/>
          </w:divBdr>
        </w:div>
      </w:divsChild>
    </w:div>
    <w:div w:id="1191724978">
      <w:bodyDiv w:val="1"/>
      <w:marLeft w:val="0"/>
      <w:marRight w:val="0"/>
      <w:marTop w:val="0"/>
      <w:marBottom w:val="0"/>
      <w:divBdr>
        <w:top w:val="none" w:sz="0" w:space="0" w:color="auto"/>
        <w:left w:val="none" w:sz="0" w:space="0" w:color="auto"/>
        <w:bottom w:val="none" w:sz="0" w:space="0" w:color="auto"/>
        <w:right w:val="none" w:sz="0" w:space="0" w:color="auto"/>
      </w:divBdr>
    </w:div>
    <w:div w:id="1400639688">
      <w:bodyDiv w:val="1"/>
      <w:marLeft w:val="0"/>
      <w:marRight w:val="0"/>
      <w:marTop w:val="0"/>
      <w:marBottom w:val="0"/>
      <w:divBdr>
        <w:top w:val="none" w:sz="0" w:space="0" w:color="auto"/>
        <w:left w:val="none" w:sz="0" w:space="0" w:color="auto"/>
        <w:bottom w:val="none" w:sz="0" w:space="0" w:color="auto"/>
        <w:right w:val="none" w:sz="0" w:space="0" w:color="auto"/>
      </w:divBdr>
    </w:div>
    <w:div w:id="1421562344">
      <w:bodyDiv w:val="1"/>
      <w:marLeft w:val="0"/>
      <w:marRight w:val="0"/>
      <w:marTop w:val="0"/>
      <w:marBottom w:val="0"/>
      <w:divBdr>
        <w:top w:val="none" w:sz="0" w:space="0" w:color="auto"/>
        <w:left w:val="none" w:sz="0" w:space="0" w:color="auto"/>
        <w:bottom w:val="none" w:sz="0" w:space="0" w:color="auto"/>
        <w:right w:val="none" w:sz="0" w:space="0" w:color="auto"/>
      </w:divBdr>
      <w:divsChild>
        <w:div w:id="1778017203">
          <w:marLeft w:val="0"/>
          <w:marRight w:val="0"/>
          <w:marTop w:val="0"/>
          <w:marBottom w:val="0"/>
          <w:divBdr>
            <w:top w:val="none" w:sz="0" w:space="0" w:color="auto"/>
            <w:left w:val="none" w:sz="0" w:space="0" w:color="auto"/>
            <w:bottom w:val="none" w:sz="0" w:space="0" w:color="auto"/>
            <w:right w:val="none" w:sz="0" w:space="0" w:color="auto"/>
          </w:divBdr>
        </w:div>
        <w:div w:id="999890920">
          <w:marLeft w:val="0"/>
          <w:marRight w:val="0"/>
          <w:marTop w:val="0"/>
          <w:marBottom w:val="0"/>
          <w:divBdr>
            <w:top w:val="none" w:sz="0" w:space="0" w:color="auto"/>
            <w:left w:val="none" w:sz="0" w:space="0" w:color="auto"/>
            <w:bottom w:val="none" w:sz="0" w:space="0" w:color="auto"/>
            <w:right w:val="none" w:sz="0" w:space="0" w:color="auto"/>
          </w:divBdr>
          <w:divsChild>
            <w:div w:id="2118673173">
              <w:marLeft w:val="0"/>
              <w:marRight w:val="0"/>
              <w:marTop w:val="0"/>
              <w:marBottom w:val="0"/>
              <w:divBdr>
                <w:top w:val="dotted" w:sz="6" w:space="0" w:color="808080"/>
                <w:left w:val="none" w:sz="0" w:space="0" w:color="auto"/>
                <w:bottom w:val="dotted" w:sz="6" w:space="0" w:color="808080"/>
                <w:right w:val="none" w:sz="0" w:space="0" w:color="auto"/>
              </w:divBdr>
            </w:div>
          </w:divsChild>
        </w:div>
        <w:div w:id="175467991">
          <w:marLeft w:val="0"/>
          <w:marRight w:val="0"/>
          <w:marTop w:val="0"/>
          <w:marBottom w:val="0"/>
          <w:divBdr>
            <w:top w:val="none" w:sz="0" w:space="0" w:color="auto"/>
            <w:left w:val="none" w:sz="0" w:space="0" w:color="auto"/>
            <w:bottom w:val="none" w:sz="0" w:space="0" w:color="auto"/>
            <w:right w:val="none" w:sz="0" w:space="0" w:color="auto"/>
          </w:divBdr>
        </w:div>
        <w:div w:id="4721333">
          <w:marLeft w:val="0"/>
          <w:marRight w:val="0"/>
          <w:marTop w:val="0"/>
          <w:marBottom w:val="0"/>
          <w:divBdr>
            <w:top w:val="none" w:sz="0" w:space="0" w:color="auto"/>
            <w:left w:val="none" w:sz="0" w:space="0" w:color="auto"/>
            <w:bottom w:val="none" w:sz="0" w:space="0" w:color="auto"/>
            <w:right w:val="none" w:sz="0" w:space="0" w:color="auto"/>
          </w:divBdr>
          <w:divsChild>
            <w:div w:id="165246227">
              <w:marLeft w:val="0"/>
              <w:marRight w:val="0"/>
              <w:marTop w:val="0"/>
              <w:marBottom w:val="0"/>
              <w:divBdr>
                <w:top w:val="none" w:sz="0" w:space="0" w:color="auto"/>
                <w:left w:val="none" w:sz="0" w:space="0" w:color="auto"/>
                <w:bottom w:val="none" w:sz="0" w:space="0" w:color="auto"/>
                <w:right w:val="none" w:sz="0" w:space="0" w:color="auto"/>
              </w:divBdr>
              <w:divsChild>
                <w:div w:id="42755239">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577978850">
      <w:bodyDiv w:val="1"/>
      <w:marLeft w:val="0"/>
      <w:marRight w:val="0"/>
      <w:marTop w:val="0"/>
      <w:marBottom w:val="0"/>
      <w:divBdr>
        <w:top w:val="none" w:sz="0" w:space="0" w:color="auto"/>
        <w:left w:val="none" w:sz="0" w:space="0" w:color="auto"/>
        <w:bottom w:val="none" w:sz="0" w:space="0" w:color="auto"/>
        <w:right w:val="none" w:sz="0" w:space="0" w:color="auto"/>
      </w:divBdr>
    </w:div>
    <w:div w:id="1686789785">
      <w:bodyDiv w:val="1"/>
      <w:marLeft w:val="0"/>
      <w:marRight w:val="0"/>
      <w:marTop w:val="0"/>
      <w:marBottom w:val="0"/>
      <w:divBdr>
        <w:top w:val="none" w:sz="0" w:space="0" w:color="auto"/>
        <w:left w:val="none" w:sz="0" w:space="0" w:color="auto"/>
        <w:bottom w:val="none" w:sz="0" w:space="0" w:color="auto"/>
        <w:right w:val="none" w:sz="0" w:space="0" w:color="auto"/>
      </w:divBdr>
      <w:divsChild>
        <w:div w:id="259879923">
          <w:marLeft w:val="0"/>
          <w:marRight w:val="0"/>
          <w:marTop w:val="225"/>
          <w:marBottom w:val="150"/>
          <w:divBdr>
            <w:top w:val="none" w:sz="0" w:space="0" w:color="auto"/>
            <w:left w:val="none" w:sz="0" w:space="0" w:color="auto"/>
            <w:bottom w:val="none" w:sz="0" w:space="0" w:color="auto"/>
            <w:right w:val="none" w:sz="0" w:space="0" w:color="auto"/>
          </w:divBdr>
        </w:div>
        <w:div w:id="1438136003">
          <w:marLeft w:val="0"/>
          <w:marRight w:val="0"/>
          <w:marTop w:val="0"/>
          <w:marBottom w:val="0"/>
          <w:divBdr>
            <w:top w:val="none" w:sz="0" w:space="0" w:color="auto"/>
            <w:left w:val="none" w:sz="0" w:space="0" w:color="auto"/>
            <w:bottom w:val="none" w:sz="0" w:space="0" w:color="auto"/>
            <w:right w:val="none" w:sz="0" w:space="0" w:color="auto"/>
          </w:divBdr>
        </w:div>
      </w:divsChild>
    </w:div>
    <w:div w:id="1690177621">
      <w:bodyDiv w:val="1"/>
      <w:marLeft w:val="0"/>
      <w:marRight w:val="0"/>
      <w:marTop w:val="0"/>
      <w:marBottom w:val="0"/>
      <w:divBdr>
        <w:top w:val="none" w:sz="0" w:space="0" w:color="auto"/>
        <w:left w:val="none" w:sz="0" w:space="0" w:color="auto"/>
        <w:bottom w:val="none" w:sz="0" w:space="0" w:color="auto"/>
        <w:right w:val="none" w:sz="0" w:space="0" w:color="auto"/>
      </w:divBdr>
    </w:div>
    <w:div w:id="19811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DA3E-4141-4E5A-8D72-3EAAC89F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Continuous Problem</vt:lpstr>
    </vt:vector>
  </TitlesOfParts>
  <Company>University of Missouri-Columbia</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Problem</dc:title>
  <dc:creator>Authors</dc:creator>
  <cp:lastModifiedBy>Christy Lynch Chauvin</cp:lastModifiedBy>
  <cp:revision>2</cp:revision>
  <cp:lastPrinted>2016-06-25T19:16:00Z</cp:lastPrinted>
  <dcterms:created xsi:type="dcterms:W3CDTF">2018-07-11T23:45:00Z</dcterms:created>
  <dcterms:modified xsi:type="dcterms:W3CDTF">2018-07-11T23:45:00Z</dcterms:modified>
</cp:coreProperties>
</file>