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43063" w14:textId="0DE0D7E7" w:rsidR="00F937CD" w:rsidRPr="00EE404C" w:rsidRDefault="001825DE" w:rsidP="00D46BD8">
      <w:pPr>
        <w:tabs>
          <w:tab w:val="left" w:pos="1350"/>
          <w:tab w:val="right" w:leader="dot" w:pos="7110"/>
        </w:tabs>
        <w:ind w:left="1350" w:hanging="1350"/>
        <w:jc w:val="both"/>
        <w:rPr>
          <w:rFonts w:ascii="Calibri" w:eastAsia="Times New Roman" w:hAnsi="Calibri" w:cs="Calibri"/>
          <w:b/>
          <w:sz w:val="22"/>
          <w:szCs w:val="22"/>
        </w:rPr>
      </w:pPr>
      <w:bookmarkStart w:id="0" w:name="_GoBack"/>
      <w:bookmarkEnd w:id="0"/>
      <w:r w:rsidRPr="00EE404C">
        <w:rPr>
          <w:rFonts w:ascii="Calibri" w:eastAsia="Times New Roman" w:hAnsi="Calibri" w:cs="Calibri"/>
          <w:b/>
          <w:sz w:val="22"/>
          <w:szCs w:val="22"/>
        </w:rPr>
        <w:t xml:space="preserve">Bingham </w:t>
      </w:r>
      <w:r w:rsidR="00AE6FF7" w:rsidRPr="00EE404C">
        <w:rPr>
          <w:rFonts w:ascii="Calibri" w:eastAsia="Times New Roman" w:hAnsi="Calibri" w:cs="Calibri"/>
          <w:b/>
          <w:sz w:val="22"/>
          <w:szCs w:val="22"/>
        </w:rPr>
        <w:t xml:space="preserve">Chapter 8 </w:t>
      </w:r>
    </w:p>
    <w:p w14:paraId="6006F389" w14:textId="77777777" w:rsidR="00F937CD" w:rsidRPr="00EE404C" w:rsidRDefault="00F937CD" w:rsidP="00D46BD8">
      <w:pPr>
        <w:tabs>
          <w:tab w:val="left" w:pos="1350"/>
          <w:tab w:val="right" w:leader="dot" w:pos="7110"/>
        </w:tabs>
        <w:ind w:left="1350" w:hanging="1350"/>
        <w:jc w:val="both"/>
        <w:rPr>
          <w:rFonts w:ascii="Calibri" w:eastAsia="Times New Roman" w:hAnsi="Calibri" w:cs="Calibri"/>
          <w:b/>
          <w:sz w:val="22"/>
          <w:szCs w:val="22"/>
        </w:rPr>
      </w:pPr>
    </w:p>
    <w:p w14:paraId="7E89563F" w14:textId="603AB216" w:rsidR="00F937CD" w:rsidRPr="00EE404C" w:rsidRDefault="00F937CD" w:rsidP="00D46BD8">
      <w:pPr>
        <w:tabs>
          <w:tab w:val="left" w:pos="1350"/>
          <w:tab w:val="right" w:leader="dot" w:pos="7110"/>
        </w:tabs>
        <w:ind w:left="1350" w:hanging="1350"/>
        <w:jc w:val="both"/>
        <w:rPr>
          <w:rFonts w:ascii="Calibri" w:eastAsia="Times New Roman" w:hAnsi="Calibri" w:cs="Calibri"/>
          <w:b/>
          <w:sz w:val="22"/>
          <w:szCs w:val="22"/>
        </w:rPr>
      </w:pPr>
      <w:r w:rsidRPr="00EE404C">
        <w:rPr>
          <w:rFonts w:ascii="Calibri" w:eastAsia="Times New Roman" w:hAnsi="Calibri" w:cs="Calibri"/>
          <w:b/>
          <w:sz w:val="22"/>
          <w:szCs w:val="22"/>
        </w:rPr>
        <w:t>Accounting for Fiduciary Activities – Agency and Trust Funds</w:t>
      </w:r>
    </w:p>
    <w:p w14:paraId="46CEDBD2" w14:textId="77777777" w:rsidR="00F937CD" w:rsidRPr="00EE404C" w:rsidRDefault="00F937CD" w:rsidP="00D46BD8">
      <w:pPr>
        <w:tabs>
          <w:tab w:val="left" w:pos="1350"/>
          <w:tab w:val="right" w:leader="dot" w:pos="7110"/>
        </w:tabs>
        <w:ind w:left="1350" w:hanging="1350"/>
        <w:jc w:val="both"/>
        <w:rPr>
          <w:rFonts w:ascii="Calibri" w:eastAsia="Times New Roman" w:hAnsi="Calibri" w:cs="Calibri"/>
          <w:sz w:val="22"/>
          <w:szCs w:val="22"/>
        </w:rPr>
      </w:pPr>
    </w:p>
    <w:p w14:paraId="5FACDB91" w14:textId="5B61D691" w:rsidR="00F937CD" w:rsidRPr="00EE404C" w:rsidRDefault="00F937CD" w:rsidP="00D46BD8">
      <w:pPr>
        <w:tabs>
          <w:tab w:val="right" w:leader="dot" w:pos="7110"/>
        </w:tabs>
        <w:jc w:val="both"/>
        <w:rPr>
          <w:rFonts w:ascii="Calibri" w:hAnsi="Calibri" w:cs="Calibri"/>
          <w:color w:val="333333"/>
          <w:sz w:val="22"/>
          <w:szCs w:val="22"/>
        </w:rPr>
      </w:pPr>
      <w:r w:rsidRPr="00EE404C">
        <w:rPr>
          <w:rFonts w:ascii="Calibri" w:hAnsi="Calibri" w:cs="Calibri"/>
          <w:color w:val="333333"/>
          <w:sz w:val="22"/>
          <w:szCs w:val="22"/>
        </w:rPr>
        <w:tab/>
        <w:t>Governments are often involved in fiduciary activities whereby they hold assets that benefit individuals, organizations, or governments other than the reporting government. Because the resources related to such activities are not owned by the reporting government and cannot be used to support its programs, Governmental Accounting Standards Board (GASB) standards exclude the reporting of fiduciary activities in the government-wide financial statements. However, fiduciary activities are reported in fiduciary fund financial statements.</w:t>
      </w:r>
    </w:p>
    <w:p w14:paraId="53716C4A" w14:textId="77777777" w:rsidR="00F937CD" w:rsidRPr="00EE404C" w:rsidRDefault="00F937CD" w:rsidP="00D46BD8">
      <w:pPr>
        <w:tabs>
          <w:tab w:val="right" w:leader="dot" w:pos="7110"/>
        </w:tabs>
        <w:jc w:val="both"/>
        <w:rPr>
          <w:rFonts w:ascii="Calibri" w:hAnsi="Calibri" w:cs="Calibri"/>
          <w:color w:val="333333"/>
          <w:sz w:val="22"/>
          <w:szCs w:val="22"/>
        </w:rPr>
      </w:pPr>
    </w:p>
    <w:p w14:paraId="02364E84" w14:textId="54D3E1B5" w:rsidR="00F937CD" w:rsidRPr="00EE404C" w:rsidRDefault="00F937CD" w:rsidP="00D46BD8">
      <w:pPr>
        <w:tabs>
          <w:tab w:val="left" w:pos="0"/>
          <w:tab w:val="right" w:leader="dot" w:pos="7110"/>
        </w:tabs>
        <w:jc w:val="both"/>
        <w:rPr>
          <w:rFonts w:ascii="Calibri" w:hAnsi="Calibri" w:cs="Calibri"/>
          <w:color w:val="333333"/>
          <w:sz w:val="22"/>
          <w:szCs w:val="22"/>
        </w:rPr>
      </w:pPr>
      <w:r w:rsidRPr="00EE404C">
        <w:rPr>
          <w:rFonts w:ascii="Calibri" w:hAnsi="Calibri" w:cs="Calibri"/>
          <w:color w:val="333333"/>
          <w:sz w:val="22"/>
          <w:szCs w:val="22"/>
        </w:rPr>
        <w:t>Four types of fiduciary funds are used to account for private-purpose activities in which a government holds assets as an agent or trustee</w:t>
      </w:r>
    </w:p>
    <w:p w14:paraId="5F86B924" w14:textId="77777777" w:rsidR="005576B2" w:rsidRPr="00EE404C" w:rsidRDefault="005576B2" w:rsidP="00D46BD8">
      <w:pPr>
        <w:tabs>
          <w:tab w:val="left" w:pos="0"/>
          <w:tab w:val="right" w:leader="dot" w:pos="7110"/>
        </w:tabs>
        <w:jc w:val="both"/>
        <w:rPr>
          <w:rFonts w:ascii="Calibri" w:hAnsi="Calibri" w:cs="Calibri"/>
          <w:color w:val="333333"/>
          <w:sz w:val="22"/>
          <w:szCs w:val="22"/>
        </w:rPr>
      </w:pPr>
    </w:p>
    <w:p w14:paraId="3A111384" w14:textId="77777777" w:rsidR="005576B2" w:rsidRPr="00EE404C" w:rsidRDefault="00F937CD" w:rsidP="005576B2">
      <w:pPr>
        <w:tabs>
          <w:tab w:val="left" w:pos="0"/>
          <w:tab w:val="right" w:leader="dot" w:pos="7110"/>
        </w:tabs>
        <w:ind w:left="720"/>
        <w:jc w:val="both"/>
        <w:rPr>
          <w:rFonts w:ascii="Calibri" w:hAnsi="Calibri" w:cs="Calibri"/>
          <w:color w:val="333333"/>
          <w:sz w:val="22"/>
          <w:szCs w:val="22"/>
        </w:rPr>
      </w:pPr>
      <w:r w:rsidRPr="00EE404C">
        <w:rPr>
          <w:rFonts w:ascii="Calibri" w:hAnsi="Calibri" w:cs="Calibri"/>
          <w:color w:val="333333"/>
          <w:sz w:val="22"/>
          <w:szCs w:val="22"/>
        </w:rPr>
        <w:t>agency funds,</w:t>
      </w:r>
    </w:p>
    <w:p w14:paraId="1F552585" w14:textId="77777777" w:rsidR="005576B2" w:rsidRPr="00EE404C" w:rsidRDefault="00F937CD" w:rsidP="005576B2">
      <w:pPr>
        <w:tabs>
          <w:tab w:val="left" w:pos="0"/>
          <w:tab w:val="right" w:leader="dot" w:pos="7110"/>
        </w:tabs>
        <w:ind w:left="720"/>
        <w:jc w:val="both"/>
        <w:rPr>
          <w:rFonts w:ascii="Calibri" w:hAnsi="Calibri" w:cs="Calibri"/>
          <w:color w:val="333333"/>
          <w:sz w:val="22"/>
          <w:szCs w:val="22"/>
        </w:rPr>
      </w:pPr>
      <w:r w:rsidRPr="00EE404C">
        <w:rPr>
          <w:rFonts w:ascii="Calibri" w:hAnsi="Calibri" w:cs="Calibri"/>
          <w:color w:val="333333"/>
          <w:sz w:val="22"/>
          <w:szCs w:val="22"/>
        </w:rPr>
        <w:t>investment trust funds,</w:t>
      </w:r>
    </w:p>
    <w:p w14:paraId="751439A6" w14:textId="77777777" w:rsidR="005576B2" w:rsidRPr="00EE404C" w:rsidRDefault="00F937CD" w:rsidP="005576B2">
      <w:pPr>
        <w:tabs>
          <w:tab w:val="left" w:pos="0"/>
          <w:tab w:val="right" w:leader="dot" w:pos="7110"/>
        </w:tabs>
        <w:ind w:left="720"/>
        <w:jc w:val="both"/>
        <w:rPr>
          <w:rFonts w:ascii="Calibri" w:hAnsi="Calibri" w:cs="Calibri"/>
          <w:color w:val="333333"/>
          <w:sz w:val="22"/>
          <w:szCs w:val="22"/>
        </w:rPr>
      </w:pPr>
      <w:r w:rsidRPr="00EE404C">
        <w:rPr>
          <w:rFonts w:ascii="Calibri" w:hAnsi="Calibri" w:cs="Calibri"/>
          <w:color w:val="333333"/>
          <w:sz w:val="22"/>
          <w:szCs w:val="22"/>
        </w:rPr>
        <w:t>private-purpose trust funds, and</w:t>
      </w:r>
    </w:p>
    <w:p w14:paraId="087BCD7A" w14:textId="1E63C89F" w:rsidR="00F937CD" w:rsidRPr="00EE404C" w:rsidRDefault="00F937CD" w:rsidP="005576B2">
      <w:pPr>
        <w:tabs>
          <w:tab w:val="left" w:pos="0"/>
          <w:tab w:val="right" w:leader="dot" w:pos="7110"/>
        </w:tabs>
        <w:ind w:left="720"/>
        <w:jc w:val="both"/>
        <w:rPr>
          <w:rFonts w:ascii="Calibri" w:hAnsi="Calibri" w:cs="Calibri"/>
          <w:color w:val="333333"/>
          <w:sz w:val="22"/>
          <w:szCs w:val="22"/>
        </w:rPr>
      </w:pPr>
      <w:r w:rsidRPr="00EE404C">
        <w:rPr>
          <w:rFonts w:ascii="Calibri" w:hAnsi="Calibri" w:cs="Calibri"/>
          <w:color w:val="333333"/>
          <w:sz w:val="22"/>
          <w:szCs w:val="22"/>
        </w:rPr>
        <w:t>pension funds</w:t>
      </w:r>
    </w:p>
    <w:p w14:paraId="5CC3CFFB" w14:textId="77777777" w:rsidR="00F937CD" w:rsidRPr="00EE404C" w:rsidRDefault="00F937CD" w:rsidP="00D46BD8">
      <w:pPr>
        <w:tabs>
          <w:tab w:val="left" w:pos="0"/>
          <w:tab w:val="right" w:leader="dot" w:pos="7110"/>
        </w:tabs>
        <w:jc w:val="both"/>
        <w:rPr>
          <w:rFonts w:ascii="Calibri" w:hAnsi="Calibri" w:cs="Calibri"/>
          <w:color w:val="333333"/>
          <w:sz w:val="22"/>
          <w:szCs w:val="22"/>
        </w:rPr>
      </w:pPr>
    </w:p>
    <w:p w14:paraId="374A1E5A" w14:textId="686B3D85" w:rsidR="00F937CD" w:rsidRPr="00EE404C" w:rsidRDefault="00F937CD" w:rsidP="00D46BD8">
      <w:pPr>
        <w:tabs>
          <w:tab w:val="left" w:pos="0"/>
          <w:tab w:val="right" w:leader="dot" w:pos="7110"/>
        </w:tabs>
        <w:jc w:val="both"/>
        <w:rPr>
          <w:rFonts w:ascii="Calibri" w:hAnsi="Calibri" w:cs="Calibri"/>
          <w:color w:val="333333"/>
          <w:sz w:val="22"/>
          <w:szCs w:val="22"/>
        </w:rPr>
      </w:pPr>
      <w:r w:rsidRPr="00EE404C">
        <w:rPr>
          <w:rFonts w:ascii="Calibri" w:hAnsi="Calibri" w:cs="Calibri"/>
          <w:color w:val="333333"/>
          <w:sz w:val="22"/>
          <w:szCs w:val="22"/>
        </w:rPr>
        <w:t>Resources that are held in trust for the benefit of the government's own programs or its citizenry should be accounted for using a governmental fund rather than a fiduciary fund. We know from Chapter Four, such public-purpose trusts should be accounted for as special revenue funds if the resources are expendable for the trust purpose or as permanent funds if the trust principal is permanently restricted.</w:t>
      </w:r>
    </w:p>
    <w:p w14:paraId="513402FF" w14:textId="0167D2CE" w:rsidR="00F937CD" w:rsidRPr="00EE404C" w:rsidRDefault="00F937CD" w:rsidP="00D46BD8">
      <w:pPr>
        <w:tabs>
          <w:tab w:val="left" w:pos="0"/>
          <w:tab w:val="right" w:leader="dot" w:pos="7110"/>
        </w:tabs>
        <w:jc w:val="both"/>
        <w:rPr>
          <w:rFonts w:ascii="Calibri" w:hAnsi="Calibri" w:cs="Calibri"/>
          <w:color w:val="333333"/>
          <w:sz w:val="22"/>
          <w:szCs w:val="22"/>
        </w:rPr>
      </w:pPr>
    </w:p>
    <w:p w14:paraId="3768AA9F" w14:textId="5BD9D3FE" w:rsidR="00F937CD" w:rsidRPr="00EE404C" w:rsidRDefault="005576B2" w:rsidP="00D46BD8">
      <w:pPr>
        <w:pStyle w:val="NormalWeb"/>
        <w:spacing w:before="0" w:beforeAutospacing="0" w:after="0" w:afterAutospacing="0" w:line="255" w:lineRule="atLeast"/>
        <w:jc w:val="both"/>
        <w:rPr>
          <w:rFonts w:ascii="Calibri" w:hAnsi="Calibri" w:cs="Calibri"/>
          <w:color w:val="333333"/>
          <w:sz w:val="22"/>
          <w:szCs w:val="22"/>
        </w:rPr>
      </w:pPr>
      <w:r w:rsidRPr="00EE404C">
        <w:rPr>
          <w:rFonts w:ascii="Calibri" w:hAnsi="Calibri" w:cs="Calibri"/>
          <w:color w:val="333333"/>
          <w:sz w:val="22"/>
          <w:szCs w:val="22"/>
        </w:rPr>
        <w:t xml:space="preserve">From an accounting perspective, the legal distinctions between trust and agency funds are not of major significance. </w:t>
      </w:r>
      <w:r w:rsidR="00F937CD" w:rsidRPr="00EE404C">
        <w:rPr>
          <w:rFonts w:ascii="Calibri" w:hAnsi="Calibri" w:cs="Calibri"/>
          <w:color w:val="333333"/>
          <w:sz w:val="22"/>
          <w:szCs w:val="22"/>
        </w:rPr>
        <w:t>The important and perhaps the sole consideration from an accounting standpoint is what can and what cannot be done with agency funds and trust funds assets in accordance with laws and other pertinent regulations.</w:t>
      </w:r>
      <w:r w:rsidR="00736101" w:rsidRPr="00EE404C">
        <w:rPr>
          <w:rFonts w:ascii="Calibri" w:hAnsi="Calibri" w:cs="Calibri"/>
          <w:color w:val="333333"/>
          <w:sz w:val="22"/>
          <w:szCs w:val="22"/>
        </w:rPr>
        <w:t xml:space="preserve"> In general, examine the aggregate of factors involved such as the enactment that brought the relationship into existence and the regulations under which it operates. </w:t>
      </w:r>
    </w:p>
    <w:p w14:paraId="3A847775" w14:textId="77777777" w:rsidR="00F937CD" w:rsidRPr="00EE404C" w:rsidRDefault="00F937CD" w:rsidP="00D46BD8">
      <w:pPr>
        <w:pStyle w:val="NormalWeb"/>
        <w:spacing w:before="0" w:beforeAutospacing="0" w:after="0" w:afterAutospacing="0" w:line="255" w:lineRule="atLeast"/>
        <w:jc w:val="both"/>
        <w:rPr>
          <w:rFonts w:ascii="Calibri" w:hAnsi="Calibri" w:cs="Calibri"/>
          <w:color w:val="333333"/>
          <w:sz w:val="22"/>
          <w:szCs w:val="22"/>
        </w:rPr>
      </w:pPr>
    </w:p>
    <w:p w14:paraId="45667213" w14:textId="3F8C9840" w:rsidR="00F937CD" w:rsidRPr="00EE404C" w:rsidRDefault="00F937CD" w:rsidP="00D46BD8">
      <w:pPr>
        <w:pStyle w:val="NormalWeb"/>
        <w:spacing w:before="0" w:beforeAutospacing="0" w:after="0" w:afterAutospacing="0" w:line="255" w:lineRule="atLeast"/>
        <w:jc w:val="both"/>
        <w:rPr>
          <w:rFonts w:ascii="Calibri" w:hAnsi="Calibri" w:cs="Calibri"/>
          <w:color w:val="333333"/>
          <w:sz w:val="22"/>
          <w:szCs w:val="22"/>
        </w:rPr>
      </w:pPr>
      <w:r w:rsidRPr="00EE404C">
        <w:rPr>
          <w:rFonts w:ascii="Calibri" w:hAnsi="Calibri" w:cs="Calibri"/>
          <w:color w:val="333333"/>
          <w:sz w:val="22"/>
          <w:szCs w:val="22"/>
        </w:rPr>
        <w:t xml:space="preserve">Trust funds differ from agency funds principally in degree. Trust funds often exist over a longer period of time, represent and develop vested interests of a beneficiary to a greater extent, and involve more complex administration and financial accounting and reporting. Agency funds are used only if a government holds resources in a purely custodial capacity for others. </w:t>
      </w:r>
    </w:p>
    <w:p w14:paraId="0FB9A4D2" w14:textId="735BA4AC" w:rsidR="00F937CD" w:rsidRPr="00EE404C" w:rsidRDefault="00F937CD" w:rsidP="00D46BD8">
      <w:pPr>
        <w:pStyle w:val="NormalWeb"/>
        <w:spacing w:before="0" w:beforeAutospacing="0" w:after="0" w:afterAutospacing="0" w:line="255" w:lineRule="atLeast"/>
        <w:jc w:val="both"/>
        <w:rPr>
          <w:rFonts w:ascii="Calibri" w:hAnsi="Calibri" w:cs="Calibri"/>
          <w:color w:val="333333"/>
          <w:sz w:val="22"/>
          <w:szCs w:val="22"/>
        </w:rPr>
      </w:pPr>
    </w:p>
    <w:p w14:paraId="1DC9596A" w14:textId="72522EE8" w:rsidR="00F937CD" w:rsidRPr="00EE404C" w:rsidRDefault="00CC57E9" w:rsidP="00D46BD8">
      <w:pPr>
        <w:pStyle w:val="NormalWeb"/>
        <w:spacing w:before="0" w:beforeAutospacing="0" w:after="0" w:afterAutospacing="0" w:line="255" w:lineRule="atLeast"/>
        <w:jc w:val="both"/>
        <w:rPr>
          <w:rFonts w:ascii="Calibri" w:hAnsi="Calibri" w:cs="Calibri"/>
          <w:b/>
          <w:color w:val="333333"/>
          <w:sz w:val="22"/>
          <w:szCs w:val="22"/>
        </w:rPr>
      </w:pPr>
      <w:r w:rsidRPr="00EE404C">
        <w:rPr>
          <w:rFonts w:ascii="Calibri" w:hAnsi="Calibri" w:cs="Calibri"/>
          <w:b/>
          <w:color w:val="333333"/>
          <w:sz w:val="22"/>
          <w:szCs w:val="22"/>
        </w:rPr>
        <w:t>Agency Funds</w:t>
      </w:r>
    </w:p>
    <w:p w14:paraId="55DE6188" w14:textId="77777777" w:rsidR="00564B40" w:rsidRPr="00EE404C" w:rsidRDefault="00564B40" w:rsidP="00D46BD8">
      <w:pPr>
        <w:pStyle w:val="NormalWeb"/>
        <w:spacing w:before="0" w:beforeAutospacing="0" w:after="0" w:afterAutospacing="0" w:line="255" w:lineRule="atLeast"/>
        <w:jc w:val="both"/>
        <w:rPr>
          <w:rFonts w:ascii="Calibri" w:hAnsi="Calibri" w:cs="Calibri"/>
          <w:b/>
          <w:color w:val="333333"/>
          <w:sz w:val="22"/>
          <w:szCs w:val="22"/>
        </w:rPr>
      </w:pPr>
    </w:p>
    <w:p w14:paraId="311CE67C" w14:textId="01991B2B" w:rsidR="00CC57E9" w:rsidRPr="00EE404C" w:rsidRDefault="00C93D5B" w:rsidP="00D46BD8">
      <w:pPr>
        <w:pStyle w:val="NormalWeb"/>
        <w:spacing w:before="0" w:beforeAutospacing="0" w:after="0" w:afterAutospacing="0" w:line="255" w:lineRule="atLeast"/>
        <w:jc w:val="both"/>
        <w:rPr>
          <w:rFonts w:ascii="Calibri" w:hAnsi="Calibri" w:cs="Calibri"/>
          <w:color w:val="333333"/>
          <w:sz w:val="22"/>
          <w:szCs w:val="22"/>
        </w:rPr>
      </w:pPr>
      <w:r w:rsidRPr="00EE404C">
        <w:rPr>
          <w:rFonts w:ascii="Calibri" w:hAnsi="Calibri" w:cs="Calibri"/>
          <w:color w:val="333333"/>
          <w:sz w:val="22"/>
          <w:szCs w:val="22"/>
        </w:rPr>
        <w:t xml:space="preserve">Assets that are held in an agency fund belong to the party or parties for which the government acts as agent. </w:t>
      </w:r>
      <w:r w:rsidRPr="00EE404C">
        <w:rPr>
          <w:rFonts w:ascii="Calibri" w:hAnsi="Calibri" w:cs="Calibri"/>
          <w:b/>
          <w:color w:val="333333"/>
          <w:sz w:val="22"/>
          <w:szCs w:val="22"/>
        </w:rPr>
        <w:t>Therefore,</w:t>
      </w:r>
      <w:r w:rsidRPr="00EE404C">
        <w:rPr>
          <w:rStyle w:val="apple-converted-space"/>
          <w:rFonts w:ascii="Calibri" w:hAnsi="Calibri" w:cs="Calibri"/>
          <w:b/>
          <w:color w:val="333333"/>
          <w:sz w:val="22"/>
          <w:szCs w:val="22"/>
        </w:rPr>
        <w:t> </w:t>
      </w:r>
      <w:r w:rsidRPr="00EE404C">
        <w:rPr>
          <w:rStyle w:val="Emphasis"/>
          <w:rFonts w:ascii="Calibri" w:hAnsi="Calibri" w:cs="Calibri"/>
          <w:b/>
          <w:color w:val="333333"/>
          <w:sz w:val="22"/>
          <w:szCs w:val="22"/>
        </w:rPr>
        <w:t>agency fund assets are offset by liabilities equal in amount; no fund net position exists</w:t>
      </w:r>
      <w:r w:rsidRPr="00EE404C">
        <w:rPr>
          <w:rStyle w:val="Emphasis"/>
          <w:rFonts w:ascii="Calibri" w:hAnsi="Calibri" w:cs="Calibri"/>
          <w:color w:val="333333"/>
          <w:sz w:val="22"/>
          <w:szCs w:val="22"/>
        </w:rPr>
        <w:t>.</w:t>
      </w:r>
      <w:r w:rsidRPr="00EE404C">
        <w:rPr>
          <w:rStyle w:val="apple-converted-space"/>
          <w:rFonts w:ascii="Calibri" w:hAnsi="Calibri" w:cs="Calibri"/>
          <w:color w:val="333333"/>
          <w:sz w:val="22"/>
          <w:szCs w:val="22"/>
        </w:rPr>
        <w:t> </w:t>
      </w:r>
      <w:r w:rsidRPr="00EE404C">
        <w:rPr>
          <w:rFonts w:ascii="Calibri" w:hAnsi="Calibri" w:cs="Calibri"/>
          <w:color w:val="333333"/>
          <w:sz w:val="22"/>
          <w:szCs w:val="22"/>
        </w:rPr>
        <w:t>GASB requires agency fund assets and liabilities to be recognized on the accrual basis. Revenues and expenses are not recognized in the accounts of agency funds.</w:t>
      </w:r>
      <w:r w:rsidR="00E7445B" w:rsidRPr="00EE404C">
        <w:rPr>
          <w:rFonts w:ascii="Calibri" w:hAnsi="Calibri" w:cs="Calibri"/>
          <w:color w:val="333333"/>
          <w:sz w:val="22"/>
          <w:szCs w:val="22"/>
        </w:rPr>
        <w:t xml:space="preserve"> The appropriate measurement focus would be economic resource measurement. </w:t>
      </w:r>
    </w:p>
    <w:p w14:paraId="070ED1FA" w14:textId="77777777" w:rsidR="00F937CD" w:rsidRPr="00EE404C" w:rsidRDefault="00F937CD" w:rsidP="00D46BD8">
      <w:pPr>
        <w:tabs>
          <w:tab w:val="left" w:pos="0"/>
          <w:tab w:val="right" w:leader="dot" w:pos="7110"/>
        </w:tabs>
        <w:jc w:val="both"/>
        <w:rPr>
          <w:rFonts w:ascii="Calibri" w:hAnsi="Calibri" w:cs="Calibri"/>
          <w:color w:val="333333"/>
          <w:sz w:val="22"/>
          <w:szCs w:val="22"/>
        </w:rPr>
      </w:pPr>
    </w:p>
    <w:p w14:paraId="6E05E427" w14:textId="6863195B" w:rsidR="00756B45" w:rsidRPr="00EE404C" w:rsidRDefault="00564B40" w:rsidP="00756B45">
      <w:pPr>
        <w:tabs>
          <w:tab w:val="left" w:pos="1350"/>
          <w:tab w:val="right" w:leader="dot" w:pos="7110"/>
        </w:tabs>
        <w:jc w:val="both"/>
        <w:rPr>
          <w:rStyle w:val="Strong"/>
          <w:rFonts w:ascii="Calibri" w:hAnsi="Calibri" w:cs="Calibri"/>
          <w:color w:val="333333"/>
          <w:sz w:val="22"/>
          <w:szCs w:val="22"/>
        </w:rPr>
      </w:pPr>
      <w:r w:rsidRPr="00EE404C">
        <w:rPr>
          <w:rFonts w:ascii="Calibri" w:hAnsi="Calibri" w:cs="Calibri"/>
          <w:color w:val="333333"/>
          <w:sz w:val="22"/>
          <w:szCs w:val="22"/>
        </w:rPr>
        <w:t xml:space="preserve">For example, local governments act as agents of the federal and state governments in the collection and remittance of employees’ withholding taxes, retirement contributions, and social security taxes. It is perfectly acceptable to account for the withholdings, and the remittance to federal and state governments, within the funds that account for the gross pay of the employees, as we saw in Chapter 4. </w:t>
      </w:r>
    </w:p>
    <w:p w14:paraId="42D62CBB" w14:textId="39DDF1F4" w:rsidR="003B782A" w:rsidRPr="00EE404C" w:rsidRDefault="003B782A" w:rsidP="00D46BD8">
      <w:pPr>
        <w:tabs>
          <w:tab w:val="left" w:pos="1350"/>
          <w:tab w:val="right" w:leader="dot" w:pos="7110"/>
        </w:tabs>
        <w:jc w:val="both"/>
        <w:rPr>
          <w:rFonts w:ascii="Calibri" w:hAnsi="Calibri" w:cs="Calibri"/>
          <w:color w:val="333333"/>
          <w:sz w:val="22"/>
          <w:szCs w:val="22"/>
        </w:rPr>
      </w:pPr>
      <w:r w:rsidRPr="00EE404C">
        <w:rPr>
          <w:rStyle w:val="Strong"/>
          <w:rFonts w:ascii="Calibri" w:hAnsi="Calibri" w:cs="Calibri"/>
          <w:color w:val="333333"/>
          <w:sz w:val="22"/>
          <w:szCs w:val="22"/>
        </w:rPr>
        <w:lastRenderedPageBreak/>
        <w:t>Agency Fund for Special Assessment Debt Service</w:t>
      </w:r>
    </w:p>
    <w:p w14:paraId="7A362742" w14:textId="77777777" w:rsidR="003B782A" w:rsidRPr="00EE404C" w:rsidRDefault="003B782A" w:rsidP="00D46BD8">
      <w:pPr>
        <w:tabs>
          <w:tab w:val="left" w:pos="1350"/>
          <w:tab w:val="right" w:leader="dot" w:pos="7110"/>
        </w:tabs>
        <w:jc w:val="both"/>
        <w:rPr>
          <w:rFonts w:ascii="Calibri" w:hAnsi="Calibri" w:cs="Calibri"/>
          <w:color w:val="333333"/>
          <w:sz w:val="22"/>
          <w:szCs w:val="22"/>
        </w:rPr>
      </w:pPr>
    </w:p>
    <w:p w14:paraId="4F3CD2F9" w14:textId="148817B3" w:rsidR="00D46BD8" w:rsidRPr="00EE404C" w:rsidRDefault="003B782A" w:rsidP="00D46BD8">
      <w:pPr>
        <w:tabs>
          <w:tab w:val="left" w:pos="1350"/>
          <w:tab w:val="right" w:leader="dot" w:pos="7110"/>
        </w:tabs>
        <w:jc w:val="both"/>
        <w:rPr>
          <w:rFonts w:ascii="Calibri" w:eastAsia="Times New Roman" w:hAnsi="Calibri" w:cs="Calibri"/>
          <w:b/>
          <w:bCs/>
          <w:color w:val="333333"/>
          <w:sz w:val="22"/>
          <w:szCs w:val="22"/>
          <w:lang w:eastAsia="en-US"/>
        </w:rPr>
      </w:pPr>
      <w:r w:rsidRPr="00EE404C">
        <w:rPr>
          <w:rFonts w:ascii="Calibri" w:hAnsi="Calibri" w:cs="Calibri"/>
          <w:color w:val="333333"/>
          <w:sz w:val="22"/>
          <w:szCs w:val="22"/>
        </w:rPr>
        <w:t>GASB standards specify that a government that has</w:t>
      </w:r>
      <w:r w:rsidR="00215406" w:rsidRPr="00EE404C">
        <w:rPr>
          <w:rFonts w:ascii="Calibri" w:hAnsi="Calibri" w:cs="Calibri"/>
          <w:color w:val="333333"/>
          <w:sz w:val="22"/>
          <w:szCs w:val="22"/>
        </w:rPr>
        <w:t xml:space="preserve"> no responsibility for the debt</w:t>
      </w:r>
      <w:r w:rsidRPr="00EE404C">
        <w:rPr>
          <w:rFonts w:ascii="Calibri" w:hAnsi="Calibri" w:cs="Calibri"/>
          <w:color w:val="333333"/>
          <w:sz w:val="22"/>
          <w:szCs w:val="22"/>
        </w:rPr>
        <w:t xml:space="preserve"> on special assessment debt in the event of property owners’ default but does perform the functions of billing property owners for the assessments, collecting installments of assessments and interest on the assessments, and</w:t>
      </w:r>
      <w:r w:rsidR="00215406" w:rsidRPr="00EE404C">
        <w:rPr>
          <w:rStyle w:val="apple-converted-space"/>
          <w:rFonts w:ascii="Calibri" w:hAnsi="Calibri" w:cs="Calibri"/>
          <w:color w:val="333333"/>
          <w:sz w:val="22"/>
          <w:szCs w:val="22"/>
        </w:rPr>
        <w:t xml:space="preserve"> </w:t>
      </w:r>
      <w:r w:rsidRPr="00EE404C">
        <w:rPr>
          <w:rFonts w:ascii="Calibri" w:hAnsi="Calibri" w:cs="Calibri"/>
          <w:color w:val="333333"/>
          <w:sz w:val="22"/>
          <w:szCs w:val="22"/>
        </w:rPr>
        <w:t>paying interest and principal on the special assessment debt</w:t>
      </w:r>
      <w:r w:rsidR="00215406" w:rsidRPr="00EE404C">
        <w:rPr>
          <w:rFonts w:ascii="Calibri" w:hAnsi="Calibri" w:cs="Calibri"/>
          <w:color w:val="333333"/>
          <w:sz w:val="22"/>
          <w:szCs w:val="22"/>
        </w:rPr>
        <w:t xml:space="preserve"> from these collections</w:t>
      </w:r>
      <w:r w:rsidRPr="00EE404C">
        <w:rPr>
          <w:rFonts w:ascii="Calibri" w:hAnsi="Calibri" w:cs="Calibri"/>
          <w:color w:val="333333"/>
          <w:sz w:val="22"/>
          <w:szCs w:val="22"/>
        </w:rPr>
        <w:t>, should account for those activities by use of an agency fund.</w:t>
      </w:r>
      <w:r w:rsidR="00D46BD8" w:rsidRPr="00EE404C">
        <w:rPr>
          <w:rFonts w:ascii="Calibri" w:eastAsia="Times New Roman" w:hAnsi="Calibri" w:cs="Calibri"/>
          <w:b/>
          <w:bCs/>
          <w:color w:val="333333"/>
          <w:sz w:val="22"/>
          <w:szCs w:val="22"/>
          <w:lang w:eastAsia="en-US"/>
        </w:rPr>
        <w:t xml:space="preserve"> </w:t>
      </w:r>
    </w:p>
    <w:p w14:paraId="3BC20BBE" w14:textId="77777777" w:rsidR="00D46BD8" w:rsidRPr="00EE404C" w:rsidRDefault="00D46BD8" w:rsidP="00D46BD8">
      <w:pPr>
        <w:jc w:val="both"/>
        <w:rPr>
          <w:rFonts w:ascii="Calibri" w:eastAsia="Times New Roman" w:hAnsi="Calibri" w:cs="Calibri"/>
          <w:b/>
          <w:bCs/>
          <w:color w:val="333333"/>
          <w:sz w:val="22"/>
          <w:szCs w:val="22"/>
          <w:lang w:eastAsia="en-US"/>
        </w:rPr>
      </w:pPr>
    </w:p>
    <w:p w14:paraId="04707BF9" w14:textId="16A10ED0" w:rsidR="003B782A" w:rsidRPr="00EE404C" w:rsidRDefault="003B782A" w:rsidP="00D46BD8">
      <w:pPr>
        <w:jc w:val="both"/>
        <w:rPr>
          <w:rFonts w:ascii="Calibri" w:eastAsia="Times New Roman" w:hAnsi="Calibri" w:cs="Calibri"/>
          <w:b/>
          <w:bCs/>
          <w:color w:val="333333"/>
          <w:sz w:val="22"/>
          <w:szCs w:val="22"/>
          <w:lang w:eastAsia="en-US"/>
        </w:rPr>
      </w:pPr>
      <w:r w:rsidRPr="00EE404C">
        <w:rPr>
          <w:rFonts w:ascii="Calibri" w:eastAsia="Times New Roman" w:hAnsi="Calibri" w:cs="Calibri"/>
          <w:b/>
          <w:bCs/>
          <w:color w:val="333333"/>
          <w:sz w:val="22"/>
          <w:szCs w:val="22"/>
          <w:lang w:eastAsia="en-US"/>
        </w:rPr>
        <w:t>Tax Agency Funds</w:t>
      </w:r>
    </w:p>
    <w:p w14:paraId="791E9BFB" w14:textId="77777777" w:rsidR="003B782A" w:rsidRPr="00EE404C" w:rsidRDefault="003B782A" w:rsidP="00D46BD8">
      <w:pPr>
        <w:jc w:val="both"/>
        <w:rPr>
          <w:rFonts w:ascii="Calibri" w:eastAsia="Times New Roman" w:hAnsi="Calibri" w:cs="Calibri"/>
          <w:color w:val="333333"/>
          <w:sz w:val="22"/>
          <w:szCs w:val="22"/>
          <w:lang w:eastAsia="en-US"/>
        </w:rPr>
      </w:pPr>
    </w:p>
    <w:p w14:paraId="20BB897F" w14:textId="77777777" w:rsidR="001A3007" w:rsidRPr="00EE404C" w:rsidRDefault="003B782A" w:rsidP="001A3007">
      <w:pPr>
        <w:pStyle w:val="NormalText"/>
        <w:rPr>
          <w:rFonts w:ascii="Calibri" w:hAnsi="Calibri" w:cs="Calibri"/>
          <w:sz w:val="22"/>
          <w:szCs w:val="22"/>
        </w:rPr>
      </w:pPr>
      <w:r w:rsidRPr="00EE404C">
        <w:rPr>
          <w:rFonts w:ascii="Calibri" w:eastAsia="Times New Roman" w:hAnsi="Calibri" w:cs="Calibri"/>
          <w:color w:val="333333"/>
          <w:sz w:val="22"/>
          <w:szCs w:val="22"/>
        </w:rPr>
        <w:t>An agency relationship that often results in the creation of an agency fund is the collection of taxes or other revenues by one government for several of the funds it operates and for other governments. State governments commonly collect sales taxes, gasoline taxes, and many other taxes that are apportioned to state agencies and to local governments within the state. At the local government level, it is common for an elected county official to serve as collector for all property taxes owed by persons or corporations owning property within the county. Taxes levied by all funds and governments within the county are certified to the county collector for collection. The county collector is required by law to make periodic distributions of tax collections for each year to each fund or government in the proportion that the levy for that fund or government bears to the total levy for the year.</w:t>
      </w:r>
      <w:r w:rsidR="001A3007" w:rsidRPr="00EE404C">
        <w:rPr>
          <w:rFonts w:ascii="Calibri" w:eastAsia="Times New Roman" w:hAnsi="Calibri" w:cs="Calibri"/>
          <w:color w:val="333333"/>
          <w:sz w:val="22"/>
          <w:szCs w:val="22"/>
        </w:rPr>
        <w:t xml:space="preserve">  </w:t>
      </w:r>
      <w:r w:rsidR="001A3007" w:rsidRPr="00EE404C">
        <w:rPr>
          <w:rFonts w:ascii="Calibri" w:hAnsi="Calibri" w:cs="Calibri"/>
          <w:sz w:val="22"/>
          <w:szCs w:val="22"/>
        </w:rPr>
        <w:t>It is common for a government that collects taxes on behalf of other governments to be authorized to withhold a certain percentage from the collections for each government.</w:t>
      </w:r>
    </w:p>
    <w:p w14:paraId="6A50AEBC" w14:textId="6471467D" w:rsidR="003B782A" w:rsidRPr="00EE404C" w:rsidRDefault="003B782A" w:rsidP="00D46BD8">
      <w:pPr>
        <w:spacing w:line="255" w:lineRule="atLeast"/>
        <w:jc w:val="both"/>
        <w:rPr>
          <w:rFonts w:ascii="Calibri" w:eastAsia="Times New Roman" w:hAnsi="Calibri" w:cs="Calibri"/>
          <w:color w:val="333333"/>
          <w:sz w:val="22"/>
          <w:szCs w:val="22"/>
          <w:lang w:eastAsia="en-US"/>
        </w:rPr>
      </w:pPr>
    </w:p>
    <w:p w14:paraId="0743D9AD" w14:textId="77777777" w:rsidR="003B782A" w:rsidRPr="00EE404C" w:rsidRDefault="003B782A" w:rsidP="00D46BD8">
      <w:pPr>
        <w:spacing w:line="255" w:lineRule="atLeast"/>
        <w:jc w:val="both"/>
        <w:rPr>
          <w:rFonts w:ascii="Calibri" w:eastAsia="Times New Roman" w:hAnsi="Calibri" w:cs="Calibri"/>
          <w:color w:val="333333"/>
          <w:sz w:val="22"/>
          <w:szCs w:val="22"/>
          <w:lang w:eastAsia="en-US"/>
        </w:rPr>
      </w:pPr>
    </w:p>
    <w:p w14:paraId="39B11148" w14:textId="0AA9D552" w:rsidR="003B782A" w:rsidRPr="00EE404C" w:rsidRDefault="003B782A" w:rsidP="00D46BD8">
      <w:pPr>
        <w:jc w:val="both"/>
        <w:rPr>
          <w:rFonts w:ascii="Calibri" w:eastAsia="Times New Roman" w:hAnsi="Calibri" w:cs="Calibri"/>
          <w:b/>
          <w:bCs/>
          <w:color w:val="333333"/>
          <w:sz w:val="22"/>
          <w:szCs w:val="22"/>
          <w:lang w:eastAsia="en-US"/>
        </w:rPr>
      </w:pPr>
      <w:r w:rsidRPr="00EE404C">
        <w:rPr>
          <w:rFonts w:ascii="Calibri" w:eastAsia="Times New Roman" w:hAnsi="Calibri" w:cs="Calibri"/>
          <w:b/>
          <w:bCs/>
          <w:color w:val="333333"/>
          <w:sz w:val="22"/>
          <w:szCs w:val="22"/>
          <w:lang w:eastAsia="en-US"/>
        </w:rPr>
        <w:t>“Pass-through” Agency Funds</w:t>
      </w:r>
    </w:p>
    <w:p w14:paraId="30695EB7" w14:textId="77777777" w:rsidR="003B782A" w:rsidRPr="00EE404C" w:rsidRDefault="003B782A" w:rsidP="00D46BD8">
      <w:pPr>
        <w:jc w:val="both"/>
        <w:rPr>
          <w:rFonts w:ascii="Calibri" w:eastAsia="Times New Roman" w:hAnsi="Calibri" w:cs="Calibri"/>
          <w:color w:val="333333"/>
          <w:sz w:val="22"/>
          <w:szCs w:val="22"/>
          <w:lang w:eastAsia="en-US"/>
        </w:rPr>
      </w:pPr>
    </w:p>
    <w:p w14:paraId="58AD2352" w14:textId="77777777" w:rsidR="003B782A" w:rsidRPr="00EE404C" w:rsidRDefault="003B782A" w:rsidP="00D46BD8">
      <w:pPr>
        <w:spacing w:line="255" w:lineRule="atLeast"/>
        <w:jc w:val="both"/>
        <w:rPr>
          <w:rFonts w:ascii="Calibri" w:eastAsia="Times New Roman" w:hAnsi="Calibri" w:cs="Calibri"/>
          <w:color w:val="333333"/>
          <w:sz w:val="22"/>
          <w:szCs w:val="22"/>
          <w:lang w:eastAsia="en-US"/>
        </w:rPr>
      </w:pPr>
      <w:r w:rsidRPr="00EE404C">
        <w:rPr>
          <w:rFonts w:ascii="Calibri" w:eastAsia="Times New Roman" w:hAnsi="Calibri" w:cs="Calibri"/>
          <w:color w:val="333333"/>
          <w:sz w:val="22"/>
          <w:szCs w:val="22"/>
          <w:lang w:eastAsia="en-US"/>
        </w:rPr>
        <w:t xml:space="preserve">Grants, entitlements, or shared revenues from the federal or a state government often pass through one level of government (primary recipient) before distribution to a secondary recipient. Accounting for such “pass-through” grants depends on whether the primary recipient government is deemed to have </w:t>
      </w:r>
      <w:r w:rsidRPr="00EE404C">
        <w:rPr>
          <w:rFonts w:ascii="Calibri" w:eastAsia="Times New Roman" w:hAnsi="Calibri" w:cs="Calibri"/>
          <w:i/>
          <w:iCs/>
          <w:color w:val="333333"/>
          <w:sz w:val="22"/>
          <w:szCs w:val="22"/>
          <w:lang w:eastAsia="en-US"/>
        </w:rPr>
        <w:t>administrative involvement</w:t>
      </w:r>
      <w:r w:rsidRPr="00EE404C">
        <w:rPr>
          <w:rFonts w:ascii="Calibri" w:eastAsia="Times New Roman" w:hAnsi="Calibri" w:cs="Calibri"/>
          <w:color w:val="333333"/>
          <w:sz w:val="22"/>
          <w:szCs w:val="22"/>
          <w:lang w:eastAsia="en-US"/>
        </w:rPr>
        <w:t> or </w:t>
      </w:r>
      <w:r w:rsidRPr="00EE404C">
        <w:rPr>
          <w:rFonts w:ascii="Calibri" w:eastAsia="Times New Roman" w:hAnsi="Calibri" w:cs="Calibri"/>
          <w:i/>
          <w:iCs/>
          <w:color w:val="333333"/>
          <w:sz w:val="22"/>
          <w:szCs w:val="22"/>
          <w:lang w:eastAsia="en-US"/>
        </w:rPr>
        <w:t>direct financial involvement</w:t>
      </w:r>
      <w:r w:rsidRPr="00EE404C">
        <w:rPr>
          <w:rFonts w:ascii="Calibri" w:eastAsia="Times New Roman" w:hAnsi="Calibri" w:cs="Calibri"/>
          <w:color w:val="333333"/>
          <w:sz w:val="22"/>
          <w:szCs w:val="22"/>
          <w:lang w:eastAsia="en-US"/>
        </w:rPr>
        <w:t xml:space="preserve"> in the grants. </w:t>
      </w:r>
    </w:p>
    <w:p w14:paraId="142D5577" w14:textId="77777777" w:rsidR="003B782A" w:rsidRPr="00EE404C" w:rsidRDefault="003B782A" w:rsidP="00D46BD8">
      <w:pPr>
        <w:spacing w:line="255" w:lineRule="atLeast"/>
        <w:jc w:val="both"/>
        <w:rPr>
          <w:rFonts w:ascii="Calibri" w:eastAsia="Times New Roman" w:hAnsi="Calibri" w:cs="Calibri"/>
          <w:color w:val="333333"/>
          <w:sz w:val="22"/>
          <w:szCs w:val="22"/>
          <w:lang w:eastAsia="en-US"/>
        </w:rPr>
      </w:pPr>
    </w:p>
    <w:p w14:paraId="58F0C107" w14:textId="0AE3D42F" w:rsidR="003B782A" w:rsidRPr="00EE404C" w:rsidRDefault="003B782A" w:rsidP="00D46BD8">
      <w:pPr>
        <w:spacing w:line="255" w:lineRule="atLeast"/>
        <w:jc w:val="both"/>
        <w:rPr>
          <w:rFonts w:ascii="Calibri" w:eastAsia="Times New Roman" w:hAnsi="Calibri" w:cs="Calibri"/>
          <w:color w:val="333333"/>
          <w:sz w:val="22"/>
          <w:szCs w:val="22"/>
          <w:lang w:eastAsia="en-US"/>
        </w:rPr>
      </w:pPr>
      <w:r w:rsidRPr="00EE404C">
        <w:rPr>
          <w:rFonts w:ascii="Calibri" w:eastAsia="Times New Roman" w:hAnsi="Calibri" w:cs="Calibri"/>
          <w:color w:val="333333"/>
          <w:sz w:val="22"/>
          <w:szCs w:val="22"/>
          <w:lang w:eastAsia="en-US"/>
        </w:rPr>
        <w:t>According to GASB standards:</w:t>
      </w:r>
    </w:p>
    <w:p w14:paraId="614FBEE0" w14:textId="77777777" w:rsidR="003B782A" w:rsidRPr="00EE404C" w:rsidRDefault="003B782A" w:rsidP="00D46BD8">
      <w:pPr>
        <w:spacing w:line="255" w:lineRule="atLeast"/>
        <w:jc w:val="both"/>
        <w:rPr>
          <w:rFonts w:ascii="Calibri" w:eastAsia="Times New Roman" w:hAnsi="Calibri" w:cs="Calibri"/>
          <w:color w:val="333333"/>
          <w:sz w:val="22"/>
          <w:szCs w:val="22"/>
          <w:lang w:eastAsia="en-US"/>
        </w:rPr>
      </w:pPr>
    </w:p>
    <w:p w14:paraId="272A1CA2" w14:textId="717F9D4A" w:rsidR="003B782A" w:rsidRPr="00EE404C" w:rsidRDefault="003B782A" w:rsidP="00D46BD8">
      <w:pPr>
        <w:spacing w:line="255" w:lineRule="atLeast"/>
        <w:jc w:val="both"/>
        <w:rPr>
          <w:rFonts w:ascii="Calibri" w:eastAsia="Times New Roman" w:hAnsi="Calibri" w:cs="Calibri"/>
          <w:color w:val="333333"/>
          <w:sz w:val="22"/>
          <w:szCs w:val="22"/>
          <w:lang w:eastAsia="en-US"/>
        </w:rPr>
      </w:pPr>
      <w:r w:rsidRPr="00EE404C">
        <w:rPr>
          <w:rFonts w:ascii="Calibri" w:eastAsia="Times New Roman" w:hAnsi="Calibri" w:cs="Calibri"/>
          <w:color w:val="333333"/>
          <w:sz w:val="22"/>
          <w:szCs w:val="22"/>
          <w:lang w:eastAsia="en-US"/>
        </w:rPr>
        <w:t>A recipient government has administrative involvement if, for example, it (a) monitors secondary recipients for compliance with program-specific requirements, (b) determines eligibility of secondary recipients or projects, even if using grantor-established criteria, or (c) has the ability to exercise discretion in how the funds are allocated. A recipient government has direct financial involvement if, for example, it finances some direct program costs because of a grantor-imposed matching requirement or is liable for disallowed costs.</w:t>
      </w:r>
    </w:p>
    <w:p w14:paraId="47C20EED" w14:textId="77777777" w:rsidR="003B782A" w:rsidRPr="00EE404C" w:rsidRDefault="003B782A" w:rsidP="00D46BD8">
      <w:pPr>
        <w:spacing w:line="255" w:lineRule="atLeast"/>
        <w:jc w:val="both"/>
        <w:rPr>
          <w:rFonts w:ascii="Calibri" w:eastAsia="Times New Roman" w:hAnsi="Calibri" w:cs="Calibri"/>
          <w:color w:val="333333"/>
          <w:sz w:val="22"/>
          <w:szCs w:val="22"/>
          <w:lang w:eastAsia="en-US"/>
        </w:rPr>
      </w:pPr>
    </w:p>
    <w:p w14:paraId="15994CB2" w14:textId="34B4975A" w:rsidR="003B782A" w:rsidRPr="00EE404C" w:rsidRDefault="003B782A" w:rsidP="00D46BD8">
      <w:pPr>
        <w:spacing w:line="255" w:lineRule="atLeast"/>
        <w:jc w:val="both"/>
        <w:rPr>
          <w:rFonts w:ascii="Calibri" w:eastAsia="Times New Roman" w:hAnsi="Calibri" w:cs="Calibri"/>
          <w:color w:val="333333"/>
          <w:sz w:val="22"/>
          <w:szCs w:val="22"/>
          <w:lang w:eastAsia="en-US"/>
        </w:rPr>
      </w:pPr>
      <w:r w:rsidRPr="00EE404C">
        <w:rPr>
          <w:rFonts w:ascii="Calibri" w:eastAsia="Times New Roman" w:hAnsi="Calibri" w:cs="Calibri"/>
          <w:color w:val="333333"/>
          <w:sz w:val="22"/>
          <w:szCs w:val="22"/>
          <w:lang w:eastAsia="en-US"/>
        </w:rPr>
        <w:t>If neither administrative nor financial involvement is deemed to exist, then a pass-through agency fund must be used and no revenue or expenditure/expense is recognized.</w:t>
      </w:r>
    </w:p>
    <w:p w14:paraId="59CB82C6" w14:textId="27697892" w:rsidR="003B782A" w:rsidRPr="00EE404C" w:rsidRDefault="003B782A" w:rsidP="00D46BD8">
      <w:pPr>
        <w:tabs>
          <w:tab w:val="right" w:leader="dot" w:pos="7110"/>
        </w:tabs>
        <w:jc w:val="both"/>
        <w:rPr>
          <w:rFonts w:ascii="Calibri" w:hAnsi="Calibri" w:cs="Calibri"/>
          <w:color w:val="333333"/>
          <w:sz w:val="22"/>
          <w:szCs w:val="22"/>
        </w:rPr>
      </w:pPr>
    </w:p>
    <w:p w14:paraId="14434F96" w14:textId="144A1C63" w:rsidR="003B782A" w:rsidRPr="00EE404C" w:rsidRDefault="003B782A" w:rsidP="00D46BD8">
      <w:pPr>
        <w:tabs>
          <w:tab w:val="right" w:leader="dot" w:pos="7110"/>
        </w:tabs>
        <w:jc w:val="both"/>
        <w:rPr>
          <w:rFonts w:ascii="Calibri" w:eastAsia="Times New Roman" w:hAnsi="Calibri" w:cs="Calibri"/>
          <w:b/>
          <w:sz w:val="22"/>
          <w:szCs w:val="22"/>
        </w:rPr>
      </w:pPr>
    </w:p>
    <w:p w14:paraId="25EE611A" w14:textId="1C2ED26C" w:rsidR="00385447" w:rsidRPr="00EE404C" w:rsidRDefault="00D46BD8" w:rsidP="00D46BD8">
      <w:pPr>
        <w:jc w:val="both"/>
        <w:rPr>
          <w:rFonts w:ascii="Calibri" w:eastAsia="Times New Roman" w:hAnsi="Calibri" w:cs="Calibri"/>
          <w:b/>
          <w:bCs/>
          <w:sz w:val="22"/>
          <w:szCs w:val="22"/>
          <w:lang w:eastAsia="en-US"/>
        </w:rPr>
      </w:pPr>
      <w:r w:rsidRPr="00EE404C">
        <w:rPr>
          <w:rFonts w:ascii="Calibri" w:eastAsia="Times New Roman" w:hAnsi="Calibri" w:cs="Calibri"/>
          <w:b/>
          <w:bCs/>
          <w:sz w:val="22"/>
          <w:szCs w:val="22"/>
          <w:lang w:eastAsia="en-US"/>
        </w:rPr>
        <w:br w:type="page"/>
      </w:r>
      <w:r w:rsidR="00385447" w:rsidRPr="00EE404C">
        <w:rPr>
          <w:rFonts w:ascii="Calibri" w:eastAsia="Times New Roman" w:hAnsi="Calibri" w:cs="Calibri"/>
          <w:b/>
          <w:bCs/>
          <w:sz w:val="22"/>
          <w:szCs w:val="22"/>
          <w:lang w:eastAsia="en-US"/>
        </w:rPr>
        <w:lastRenderedPageBreak/>
        <w:t>TRUST FUNDS</w:t>
      </w:r>
    </w:p>
    <w:p w14:paraId="6BEC5785" w14:textId="77777777" w:rsidR="00385447" w:rsidRPr="00EE404C" w:rsidRDefault="00385447" w:rsidP="00D46BD8">
      <w:pPr>
        <w:jc w:val="both"/>
        <w:rPr>
          <w:rFonts w:ascii="Calibri" w:eastAsia="Times New Roman" w:hAnsi="Calibri" w:cs="Calibri"/>
          <w:color w:val="00ADEE"/>
          <w:sz w:val="22"/>
          <w:szCs w:val="22"/>
          <w:lang w:eastAsia="en-US"/>
        </w:rPr>
      </w:pPr>
    </w:p>
    <w:p w14:paraId="450FF8D6" w14:textId="1656C5B2" w:rsidR="00385447" w:rsidRPr="00EE404C" w:rsidRDefault="00385447" w:rsidP="00D46BD8">
      <w:pPr>
        <w:spacing w:line="255" w:lineRule="atLeast"/>
        <w:jc w:val="both"/>
        <w:rPr>
          <w:rFonts w:ascii="Calibri" w:eastAsia="Times New Roman" w:hAnsi="Calibri" w:cs="Calibri"/>
          <w:color w:val="333333"/>
          <w:sz w:val="22"/>
          <w:szCs w:val="22"/>
          <w:lang w:eastAsia="en-US"/>
        </w:rPr>
      </w:pPr>
      <w:r w:rsidRPr="00EE404C">
        <w:rPr>
          <w:rFonts w:ascii="Calibri" w:eastAsia="Times New Roman" w:hAnsi="Calibri" w:cs="Calibri"/>
          <w:color w:val="333333"/>
          <w:sz w:val="22"/>
          <w:szCs w:val="22"/>
          <w:lang w:eastAsia="en-US"/>
        </w:rPr>
        <w:t>In addition to agency funds, the fiduciary fund classification includes three types of trust funds—investment trust funds, private-purpose trust funds, and pension trust funds.</w:t>
      </w:r>
    </w:p>
    <w:p w14:paraId="19EB0A51" w14:textId="77777777" w:rsidR="00385447" w:rsidRPr="00EE404C" w:rsidRDefault="00385447" w:rsidP="00D46BD8">
      <w:pPr>
        <w:spacing w:line="255" w:lineRule="atLeast"/>
        <w:jc w:val="both"/>
        <w:rPr>
          <w:rFonts w:ascii="Calibri" w:eastAsia="Times New Roman" w:hAnsi="Calibri" w:cs="Calibri"/>
          <w:color w:val="333333"/>
          <w:sz w:val="22"/>
          <w:szCs w:val="22"/>
          <w:lang w:eastAsia="en-US"/>
        </w:rPr>
      </w:pPr>
    </w:p>
    <w:p w14:paraId="5CEFDB03" w14:textId="77777777" w:rsidR="00385447" w:rsidRPr="00EE404C" w:rsidRDefault="00385447" w:rsidP="00D46BD8">
      <w:pPr>
        <w:spacing w:line="255" w:lineRule="atLeast"/>
        <w:jc w:val="both"/>
        <w:rPr>
          <w:rFonts w:ascii="Calibri" w:eastAsia="Times New Roman" w:hAnsi="Calibri" w:cs="Calibri"/>
          <w:color w:val="333333"/>
          <w:sz w:val="22"/>
          <w:szCs w:val="22"/>
          <w:lang w:eastAsia="en-US"/>
        </w:rPr>
      </w:pPr>
      <w:r w:rsidRPr="00EE404C">
        <w:rPr>
          <w:rFonts w:ascii="Calibri" w:eastAsia="Times New Roman" w:hAnsi="Calibri" w:cs="Calibri"/>
          <w:color w:val="333333"/>
          <w:sz w:val="22"/>
          <w:szCs w:val="22"/>
          <w:lang w:eastAsia="en-US"/>
        </w:rPr>
        <w:t xml:space="preserve">Historically, trust funds have been created to account for assets received by the government in a trust agreement in which the assets are to be invested to produce income to be used for specified purposes (such as cultural or educational). The majority of such trusts benefit the government's own programs or its citizenry. </w:t>
      </w:r>
    </w:p>
    <w:p w14:paraId="4FD97A9B" w14:textId="77777777" w:rsidR="00385447" w:rsidRPr="00EE404C" w:rsidRDefault="00385447" w:rsidP="00D46BD8">
      <w:pPr>
        <w:spacing w:line="255" w:lineRule="atLeast"/>
        <w:jc w:val="both"/>
        <w:rPr>
          <w:rFonts w:ascii="Calibri" w:eastAsia="Times New Roman" w:hAnsi="Calibri" w:cs="Calibri"/>
          <w:color w:val="333333"/>
          <w:sz w:val="22"/>
          <w:szCs w:val="22"/>
          <w:lang w:eastAsia="en-US"/>
        </w:rPr>
      </w:pPr>
    </w:p>
    <w:p w14:paraId="59233A6B" w14:textId="77777777" w:rsidR="00385447" w:rsidRPr="00EE404C" w:rsidRDefault="00385447" w:rsidP="00D46BD8">
      <w:pPr>
        <w:spacing w:line="255" w:lineRule="atLeast"/>
        <w:jc w:val="both"/>
        <w:rPr>
          <w:rFonts w:ascii="Calibri" w:eastAsia="Times New Roman" w:hAnsi="Calibri" w:cs="Calibri"/>
          <w:color w:val="333333"/>
          <w:sz w:val="22"/>
          <w:szCs w:val="22"/>
          <w:lang w:eastAsia="en-US"/>
        </w:rPr>
      </w:pPr>
      <w:r w:rsidRPr="00EE404C">
        <w:rPr>
          <w:rFonts w:ascii="Calibri" w:eastAsia="Times New Roman" w:hAnsi="Calibri" w:cs="Calibri"/>
          <w:color w:val="333333"/>
          <w:sz w:val="22"/>
          <w:szCs w:val="22"/>
          <w:lang w:eastAsia="en-US"/>
        </w:rPr>
        <w:t>Trusts that benefit the government's own programs or citizens at large are accounted for as either special revenue funds or </w:t>
      </w:r>
      <w:r w:rsidRPr="00EE404C">
        <w:rPr>
          <w:rFonts w:ascii="Calibri" w:eastAsia="Times New Roman" w:hAnsi="Calibri" w:cs="Calibri"/>
          <w:i/>
          <w:iCs/>
          <w:color w:val="333333"/>
          <w:sz w:val="22"/>
          <w:szCs w:val="22"/>
          <w:lang w:eastAsia="en-US"/>
        </w:rPr>
        <w:t>permanent funds.</w:t>
      </w:r>
      <w:r w:rsidRPr="00EE404C">
        <w:rPr>
          <w:rFonts w:ascii="Calibri" w:eastAsia="Times New Roman" w:hAnsi="Calibri" w:cs="Calibri"/>
          <w:color w:val="333333"/>
          <w:sz w:val="22"/>
          <w:szCs w:val="22"/>
          <w:lang w:eastAsia="en-US"/>
        </w:rPr>
        <w:t xml:space="preserve"> The type of fund used depends on whether the principal of the gift can be spent for the specified purposes (i.e., a special revenue fund) or is permanently restricted for investment, with only the earnings therefrom available to spend for the specified purposes (i.e., a permanent fund). Both special revenue funds and permanent funds are governmental fund types. </w:t>
      </w:r>
    </w:p>
    <w:p w14:paraId="07B1B0D8" w14:textId="77777777" w:rsidR="00385447" w:rsidRPr="00EE404C" w:rsidRDefault="00385447" w:rsidP="00D46BD8">
      <w:pPr>
        <w:spacing w:line="255" w:lineRule="atLeast"/>
        <w:jc w:val="both"/>
        <w:rPr>
          <w:rFonts w:ascii="Calibri" w:eastAsia="Times New Roman" w:hAnsi="Calibri" w:cs="Calibri"/>
          <w:color w:val="333333"/>
          <w:sz w:val="22"/>
          <w:szCs w:val="22"/>
          <w:lang w:eastAsia="en-US"/>
        </w:rPr>
      </w:pPr>
    </w:p>
    <w:p w14:paraId="10CA1425" w14:textId="6AC71E54" w:rsidR="00385447" w:rsidRPr="00EE404C" w:rsidRDefault="00385447" w:rsidP="00D46BD8">
      <w:pPr>
        <w:spacing w:line="255" w:lineRule="atLeast"/>
        <w:jc w:val="both"/>
        <w:rPr>
          <w:rFonts w:ascii="Calibri" w:eastAsia="Times New Roman" w:hAnsi="Calibri" w:cs="Calibri"/>
          <w:color w:val="333333"/>
          <w:sz w:val="22"/>
          <w:szCs w:val="22"/>
          <w:lang w:eastAsia="en-US"/>
        </w:rPr>
      </w:pPr>
      <w:r w:rsidRPr="00EE404C">
        <w:rPr>
          <w:rFonts w:ascii="Calibri" w:eastAsia="Times New Roman" w:hAnsi="Calibri" w:cs="Calibri"/>
          <w:color w:val="333333"/>
          <w:sz w:val="22"/>
          <w:szCs w:val="22"/>
          <w:lang w:eastAsia="en-US"/>
        </w:rPr>
        <w:t xml:space="preserve">The GASB standards indicate that fiduciary funds are used when trusts benefit others, such as individuals, organizations, or other governments such as an investment pool, private purpose trust fund, or pension trust fund. </w:t>
      </w:r>
    </w:p>
    <w:p w14:paraId="73E37453" w14:textId="72E815DE" w:rsidR="00A23B98" w:rsidRPr="00EE404C" w:rsidRDefault="00A23B98" w:rsidP="00D46BD8">
      <w:pPr>
        <w:spacing w:line="255" w:lineRule="atLeast"/>
        <w:jc w:val="both"/>
        <w:rPr>
          <w:rFonts w:ascii="Calibri" w:eastAsia="Times New Roman" w:hAnsi="Calibri" w:cs="Calibri"/>
          <w:color w:val="333333"/>
          <w:sz w:val="22"/>
          <w:szCs w:val="22"/>
          <w:lang w:eastAsia="en-US"/>
        </w:rPr>
      </w:pPr>
    </w:p>
    <w:p w14:paraId="4C9BD49E" w14:textId="625C7CD8" w:rsidR="00A23B98" w:rsidRPr="00EE404C" w:rsidRDefault="00A23B98" w:rsidP="00D46BD8">
      <w:pPr>
        <w:spacing w:line="255" w:lineRule="atLeast"/>
        <w:jc w:val="both"/>
        <w:rPr>
          <w:rFonts w:ascii="Calibri" w:eastAsia="Times New Roman" w:hAnsi="Calibri" w:cs="Calibri"/>
          <w:b/>
          <w:color w:val="333333"/>
          <w:sz w:val="22"/>
          <w:szCs w:val="22"/>
          <w:lang w:eastAsia="en-US"/>
        </w:rPr>
      </w:pPr>
      <w:r w:rsidRPr="00EE404C">
        <w:rPr>
          <w:rFonts w:ascii="Calibri" w:eastAsia="Times New Roman" w:hAnsi="Calibri" w:cs="Calibri"/>
          <w:b/>
          <w:color w:val="333333"/>
          <w:sz w:val="22"/>
          <w:szCs w:val="22"/>
          <w:lang w:eastAsia="en-US"/>
        </w:rPr>
        <w:t>Investment Pool</w:t>
      </w:r>
    </w:p>
    <w:p w14:paraId="112E456F" w14:textId="77777777" w:rsidR="00A23B98" w:rsidRPr="00EE404C" w:rsidRDefault="00A23B98" w:rsidP="00D46BD8">
      <w:pPr>
        <w:spacing w:line="255" w:lineRule="atLeast"/>
        <w:jc w:val="both"/>
        <w:rPr>
          <w:rFonts w:ascii="Calibri" w:eastAsia="Times New Roman" w:hAnsi="Calibri" w:cs="Calibri"/>
          <w:b/>
          <w:color w:val="333333"/>
          <w:sz w:val="22"/>
          <w:szCs w:val="22"/>
          <w:lang w:eastAsia="en-US"/>
        </w:rPr>
      </w:pPr>
    </w:p>
    <w:p w14:paraId="683A99C3" w14:textId="4BA25EBC" w:rsidR="00A23B98" w:rsidRPr="00EE404C" w:rsidRDefault="00A23B98" w:rsidP="00D46BD8">
      <w:pPr>
        <w:spacing w:line="255" w:lineRule="atLeast"/>
        <w:jc w:val="both"/>
        <w:rPr>
          <w:rFonts w:ascii="Calibri" w:hAnsi="Calibri" w:cs="Calibri"/>
          <w:color w:val="333333"/>
          <w:sz w:val="22"/>
          <w:szCs w:val="22"/>
        </w:rPr>
      </w:pPr>
      <w:r w:rsidRPr="00EE404C">
        <w:rPr>
          <w:rFonts w:ascii="Calibri" w:hAnsi="Calibri" w:cs="Calibri"/>
          <w:color w:val="333333"/>
          <w:sz w:val="22"/>
          <w:szCs w:val="22"/>
        </w:rPr>
        <w:t>It is common for governments to possess both long- and short-term investments, as well as idle cash within their funds. Effective management of investments can be enhanced by placing the investments of the funds in a pool under the control of the treasurer or a professional investment manager, either within the treasurer's office or in a financial institution such as a bank or investment firm.</w:t>
      </w:r>
    </w:p>
    <w:p w14:paraId="2F192A0A" w14:textId="77777777" w:rsidR="00A23B98" w:rsidRPr="00EE404C" w:rsidRDefault="00A23B98" w:rsidP="00D46BD8">
      <w:pPr>
        <w:spacing w:line="255" w:lineRule="atLeast"/>
        <w:jc w:val="both"/>
        <w:rPr>
          <w:rFonts w:ascii="Calibri" w:eastAsia="Times New Roman" w:hAnsi="Calibri" w:cs="Calibri"/>
          <w:color w:val="333333"/>
          <w:sz w:val="22"/>
          <w:szCs w:val="22"/>
          <w:lang w:eastAsia="en-US"/>
        </w:rPr>
      </w:pPr>
    </w:p>
    <w:p w14:paraId="7A2FB058" w14:textId="3F59E024" w:rsidR="00385447" w:rsidRPr="00EE404C" w:rsidRDefault="00A23B98" w:rsidP="00D46BD8">
      <w:pPr>
        <w:tabs>
          <w:tab w:val="right" w:leader="dot" w:pos="7110"/>
        </w:tabs>
        <w:jc w:val="both"/>
        <w:rPr>
          <w:rFonts w:ascii="Calibri" w:hAnsi="Calibri" w:cs="Calibri"/>
          <w:color w:val="333333"/>
          <w:sz w:val="22"/>
          <w:szCs w:val="22"/>
        </w:rPr>
      </w:pPr>
      <w:r w:rsidRPr="00EE404C">
        <w:rPr>
          <w:rFonts w:ascii="Calibri" w:hAnsi="Calibri" w:cs="Calibri"/>
          <w:color w:val="333333"/>
          <w:sz w:val="22"/>
          <w:szCs w:val="22"/>
        </w:rPr>
        <w:t>If the investment pool is an</w:t>
      </w:r>
      <w:r w:rsidRPr="00EE404C">
        <w:rPr>
          <w:rStyle w:val="apple-converted-space"/>
          <w:rFonts w:ascii="Calibri" w:hAnsi="Calibri" w:cs="Calibri"/>
          <w:color w:val="333333"/>
          <w:sz w:val="22"/>
          <w:szCs w:val="22"/>
        </w:rPr>
        <w:t> </w:t>
      </w:r>
      <w:r w:rsidRPr="00EE404C">
        <w:rPr>
          <w:rStyle w:val="Emphasis"/>
          <w:rFonts w:ascii="Calibri" w:hAnsi="Calibri" w:cs="Calibri"/>
          <w:color w:val="333333"/>
          <w:sz w:val="22"/>
          <w:szCs w:val="22"/>
        </w:rPr>
        <w:t>internal</w:t>
      </w:r>
      <w:r w:rsidRPr="00EE404C">
        <w:rPr>
          <w:rStyle w:val="apple-converted-space"/>
          <w:rFonts w:ascii="Calibri" w:hAnsi="Calibri" w:cs="Calibri"/>
          <w:color w:val="333333"/>
          <w:sz w:val="22"/>
          <w:szCs w:val="22"/>
        </w:rPr>
        <w:t> </w:t>
      </w:r>
      <w:r w:rsidRPr="00EE404C">
        <w:rPr>
          <w:rFonts w:ascii="Calibri" w:hAnsi="Calibri" w:cs="Calibri"/>
          <w:color w:val="333333"/>
          <w:sz w:val="22"/>
          <w:szCs w:val="22"/>
        </w:rPr>
        <w:t>investment pool (participating funds are all within the same government) an agency fund may be used to account for the investments in the pool.</w:t>
      </w:r>
    </w:p>
    <w:p w14:paraId="75F88AC2" w14:textId="4DF97DF9" w:rsidR="00A23B98" w:rsidRPr="00EE404C" w:rsidRDefault="00A23B98" w:rsidP="00D46BD8">
      <w:pPr>
        <w:tabs>
          <w:tab w:val="right" w:leader="dot" w:pos="7110"/>
        </w:tabs>
        <w:jc w:val="both"/>
        <w:rPr>
          <w:rFonts w:ascii="Calibri" w:hAnsi="Calibri" w:cs="Calibri"/>
          <w:color w:val="333333"/>
          <w:sz w:val="22"/>
          <w:szCs w:val="22"/>
        </w:rPr>
      </w:pPr>
    </w:p>
    <w:p w14:paraId="77629D42" w14:textId="757E3FAA" w:rsidR="00A23B98" w:rsidRPr="00EE404C" w:rsidRDefault="00A23B98" w:rsidP="00D46BD8">
      <w:pPr>
        <w:tabs>
          <w:tab w:val="right" w:leader="dot" w:pos="7110"/>
        </w:tabs>
        <w:jc w:val="both"/>
        <w:rPr>
          <w:rFonts w:ascii="Calibri" w:hAnsi="Calibri" w:cs="Calibri"/>
          <w:color w:val="333333"/>
          <w:sz w:val="22"/>
          <w:szCs w:val="22"/>
        </w:rPr>
      </w:pPr>
      <w:r w:rsidRPr="00EE404C">
        <w:rPr>
          <w:rFonts w:ascii="Calibri" w:hAnsi="Calibri" w:cs="Calibri"/>
          <w:color w:val="333333"/>
          <w:sz w:val="22"/>
          <w:szCs w:val="22"/>
        </w:rPr>
        <w:t>If the investment pool has external participants (other governments or organizations outside the government administering the pool), an</w:t>
      </w:r>
      <w:r w:rsidRPr="00EE404C">
        <w:rPr>
          <w:rStyle w:val="apple-converted-space"/>
          <w:rFonts w:ascii="Calibri" w:hAnsi="Calibri" w:cs="Calibri"/>
          <w:color w:val="333333"/>
          <w:sz w:val="22"/>
          <w:szCs w:val="22"/>
        </w:rPr>
        <w:t> </w:t>
      </w:r>
      <w:r w:rsidRPr="00EE404C">
        <w:rPr>
          <w:rStyle w:val="Strong"/>
          <w:rFonts w:ascii="Calibri" w:hAnsi="Calibri" w:cs="Calibri"/>
          <w:sz w:val="22"/>
          <w:szCs w:val="22"/>
        </w:rPr>
        <w:t>external investment pool</w:t>
      </w:r>
      <w:r w:rsidRPr="00EE404C">
        <w:rPr>
          <w:rStyle w:val="apple-converted-space"/>
          <w:rFonts w:ascii="Calibri" w:hAnsi="Calibri" w:cs="Calibri"/>
          <w:color w:val="333333"/>
          <w:sz w:val="22"/>
          <w:szCs w:val="22"/>
        </w:rPr>
        <w:t> </w:t>
      </w:r>
      <w:r w:rsidRPr="00EE404C">
        <w:rPr>
          <w:rFonts w:ascii="Calibri" w:hAnsi="Calibri" w:cs="Calibri"/>
          <w:color w:val="333333"/>
          <w:sz w:val="22"/>
          <w:szCs w:val="22"/>
        </w:rPr>
        <w:t xml:space="preserve">is used. GASB standards require that an </w:t>
      </w:r>
      <w:r w:rsidRPr="00EE404C">
        <w:rPr>
          <w:rStyle w:val="Strong"/>
          <w:rFonts w:ascii="Calibri" w:hAnsi="Calibri" w:cs="Calibri"/>
          <w:sz w:val="22"/>
          <w:szCs w:val="22"/>
        </w:rPr>
        <w:t>investment trust fund</w:t>
      </w:r>
      <w:r w:rsidRPr="00EE404C">
        <w:rPr>
          <w:rStyle w:val="apple-converted-space"/>
          <w:rFonts w:ascii="Calibri" w:hAnsi="Calibri" w:cs="Calibri"/>
          <w:color w:val="333333"/>
          <w:sz w:val="22"/>
          <w:szCs w:val="22"/>
        </w:rPr>
        <w:t> </w:t>
      </w:r>
      <w:r w:rsidRPr="00EE404C">
        <w:rPr>
          <w:rFonts w:ascii="Calibri" w:hAnsi="Calibri" w:cs="Calibri"/>
          <w:color w:val="333333"/>
          <w:sz w:val="22"/>
          <w:szCs w:val="22"/>
        </w:rPr>
        <w:t>be used to account for the assets, liabilities, net position, and changes in net position corresponding to the equity of the</w:t>
      </w:r>
      <w:r w:rsidRPr="00EE404C">
        <w:rPr>
          <w:rStyle w:val="apple-converted-space"/>
          <w:rFonts w:ascii="Calibri" w:hAnsi="Calibri" w:cs="Calibri"/>
          <w:color w:val="333333"/>
          <w:sz w:val="22"/>
          <w:szCs w:val="22"/>
        </w:rPr>
        <w:t> </w:t>
      </w:r>
      <w:r w:rsidRPr="00EE404C">
        <w:rPr>
          <w:rStyle w:val="Emphasis"/>
          <w:rFonts w:ascii="Calibri" w:hAnsi="Calibri" w:cs="Calibri"/>
          <w:color w:val="333333"/>
          <w:sz w:val="22"/>
          <w:szCs w:val="22"/>
        </w:rPr>
        <w:t>external</w:t>
      </w:r>
      <w:r w:rsidRPr="00EE404C">
        <w:rPr>
          <w:rStyle w:val="apple-converted-space"/>
          <w:rFonts w:ascii="Calibri" w:hAnsi="Calibri" w:cs="Calibri"/>
          <w:color w:val="333333"/>
          <w:sz w:val="22"/>
          <w:szCs w:val="22"/>
        </w:rPr>
        <w:t> </w:t>
      </w:r>
      <w:r w:rsidRPr="00EE404C">
        <w:rPr>
          <w:rFonts w:ascii="Calibri" w:hAnsi="Calibri" w:cs="Calibri"/>
          <w:color w:val="333333"/>
          <w:sz w:val="22"/>
          <w:szCs w:val="22"/>
        </w:rPr>
        <w:t>participants.</w:t>
      </w:r>
      <w:r w:rsidRPr="00EE404C">
        <w:rPr>
          <w:rFonts w:ascii="Calibri" w:hAnsi="Calibri" w:cs="Calibri"/>
          <w:sz w:val="22"/>
          <w:szCs w:val="22"/>
          <w:vertAlign w:val="superscript"/>
        </w:rPr>
        <w:t xml:space="preserve"> </w:t>
      </w:r>
      <w:r w:rsidRPr="00EE404C">
        <w:rPr>
          <w:rFonts w:ascii="Calibri" w:hAnsi="Calibri" w:cs="Calibri"/>
          <w:color w:val="333333"/>
          <w:sz w:val="22"/>
          <w:szCs w:val="22"/>
        </w:rPr>
        <w:t>The accounting for investment trust funds uses an economic resources measurement focus and the accrual basis of accounting.</w:t>
      </w:r>
    </w:p>
    <w:p w14:paraId="075D4729" w14:textId="6FC09EC4" w:rsidR="002672DB" w:rsidRPr="00EE404C" w:rsidRDefault="002672DB" w:rsidP="00D46BD8">
      <w:pPr>
        <w:tabs>
          <w:tab w:val="right" w:leader="dot" w:pos="7110"/>
        </w:tabs>
        <w:jc w:val="both"/>
        <w:rPr>
          <w:rFonts w:ascii="Calibri" w:hAnsi="Calibri" w:cs="Calibri"/>
          <w:color w:val="333333"/>
          <w:sz w:val="22"/>
          <w:szCs w:val="22"/>
        </w:rPr>
      </w:pPr>
    </w:p>
    <w:p w14:paraId="4B97B106" w14:textId="0AB3BAC5" w:rsidR="002672DB" w:rsidRPr="00EE404C" w:rsidRDefault="002672DB" w:rsidP="00D46BD8">
      <w:pPr>
        <w:tabs>
          <w:tab w:val="right" w:leader="dot" w:pos="7110"/>
        </w:tabs>
        <w:jc w:val="both"/>
        <w:rPr>
          <w:rFonts w:ascii="Calibri" w:hAnsi="Calibri" w:cs="Calibri"/>
          <w:color w:val="333333"/>
          <w:sz w:val="22"/>
          <w:szCs w:val="22"/>
        </w:rPr>
      </w:pPr>
      <w:r w:rsidRPr="00EE404C">
        <w:rPr>
          <w:rFonts w:ascii="Calibri" w:hAnsi="Calibri" w:cs="Calibri"/>
          <w:color w:val="333333"/>
          <w:sz w:val="22"/>
          <w:szCs w:val="22"/>
        </w:rPr>
        <w:t xml:space="preserve">When investments are transferred to the pool, they are transferred at their fair market value at the date of the transfer. </w:t>
      </w:r>
    </w:p>
    <w:p w14:paraId="75EFDDF5" w14:textId="13AA82B7" w:rsidR="002672DB" w:rsidRPr="00EE404C" w:rsidRDefault="002672DB" w:rsidP="00D46BD8">
      <w:pPr>
        <w:tabs>
          <w:tab w:val="right" w:leader="dot" w:pos="7110"/>
        </w:tabs>
        <w:jc w:val="both"/>
        <w:rPr>
          <w:rFonts w:ascii="Calibri" w:eastAsia="Times New Roman" w:hAnsi="Calibri" w:cs="Calibri"/>
          <w:b/>
          <w:sz w:val="22"/>
          <w:szCs w:val="22"/>
        </w:rPr>
      </w:pPr>
    </w:p>
    <w:p w14:paraId="63FC4F7C" w14:textId="77777777" w:rsidR="00385447" w:rsidRPr="00EE404C" w:rsidRDefault="00385447" w:rsidP="00D46BD8">
      <w:pPr>
        <w:tabs>
          <w:tab w:val="right" w:leader="dot" w:pos="7110"/>
        </w:tabs>
        <w:jc w:val="both"/>
        <w:rPr>
          <w:rFonts w:ascii="Calibri" w:eastAsia="Times New Roman" w:hAnsi="Calibri" w:cs="Calibri"/>
          <w:b/>
          <w:sz w:val="22"/>
          <w:szCs w:val="22"/>
        </w:rPr>
      </w:pPr>
    </w:p>
    <w:p w14:paraId="55EFB92E" w14:textId="6F0E9593" w:rsidR="00AE6FF7" w:rsidRPr="00EE404C" w:rsidRDefault="00D46BD8" w:rsidP="00D46BD8">
      <w:pPr>
        <w:tabs>
          <w:tab w:val="left" w:pos="1350"/>
          <w:tab w:val="right" w:leader="dot" w:pos="7110"/>
        </w:tabs>
        <w:ind w:left="1350" w:hanging="1350"/>
        <w:jc w:val="both"/>
        <w:rPr>
          <w:rFonts w:ascii="Calibri" w:eastAsia="Times New Roman" w:hAnsi="Calibri" w:cs="Calibri"/>
          <w:b/>
          <w:sz w:val="22"/>
          <w:szCs w:val="22"/>
        </w:rPr>
      </w:pPr>
      <w:r w:rsidRPr="00EE404C">
        <w:rPr>
          <w:rFonts w:ascii="Calibri" w:eastAsia="Times New Roman" w:hAnsi="Calibri" w:cs="Calibri"/>
          <w:b/>
          <w:sz w:val="22"/>
          <w:szCs w:val="22"/>
        </w:rPr>
        <w:br w:type="page"/>
      </w:r>
      <w:r w:rsidR="00AE6FF7" w:rsidRPr="00EE404C">
        <w:rPr>
          <w:rFonts w:ascii="Calibri" w:eastAsia="Times New Roman" w:hAnsi="Calibri" w:cs="Calibri"/>
          <w:b/>
          <w:sz w:val="22"/>
          <w:szCs w:val="22"/>
        </w:rPr>
        <w:lastRenderedPageBreak/>
        <w:t xml:space="preserve">Recording Transactions Affecting a Fiduciary Fund—An Investment Trust Fund </w:t>
      </w:r>
    </w:p>
    <w:p w14:paraId="689FFBB7" w14:textId="77777777" w:rsidR="00AE6FF7" w:rsidRPr="00EE404C" w:rsidRDefault="00AE6FF7" w:rsidP="00D46BD8">
      <w:pPr>
        <w:jc w:val="both"/>
        <w:rPr>
          <w:rFonts w:ascii="Calibri" w:eastAsia="Times New Roman" w:hAnsi="Calibri" w:cs="Calibri"/>
          <w:b/>
          <w:sz w:val="22"/>
          <w:szCs w:val="22"/>
        </w:rPr>
      </w:pPr>
    </w:p>
    <w:p w14:paraId="40D5FE77" w14:textId="77777777" w:rsidR="00A23B98" w:rsidRPr="00EE404C" w:rsidRDefault="00AE6FF7" w:rsidP="00D46BD8">
      <w:pPr>
        <w:jc w:val="both"/>
        <w:rPr>
          <w:rFonts w:ascii="Calibri" w:eastAsia="Times New Roman" w:hAnsi="Calibri" w:cs="Calibri"/>
          <w:sz w:val="22"/>
          <w:szCs w:val="22"/>
        </w:rPr>
      </w:pPr>
      <w:r w:rsidRPr="00EE404C">
        <w:rPr>
          <w:rFonts w:ascii="Calibri" w:eastAsia="Times New Roman" w:hAnsi="Calibri" w:cs="Calibri"/>
          <w:sz w:val="22"/>
          <w:szCs w:val="22"/>
        </w:rPr>
        <w:t>The city council of the City of Bingham decided in late 201</w:t>
      </w:r>
      <w:r w:rsidR="00224CE1" w:rsidRPr="00EE404C">
        <w:rPr>
          <w:rFonts w:ascii="Calibri" w:eastAsia="Times New Roman" w:hAnsi="Calibri" w:cs="Calibri"/>
          <w:sz w:val="22"/>
          <w:szCs w:val="22"/>
        </w:rPr>
        <w:t>7</w:t>
      </w:r>
      <w:r w:rsidRPr="00EE404C">
        <w:rPr>
          <w:rFonts w:ascii="Calibri" w:eastAsia="Times New Roman" w:hAnsi="Calibri" w:cs="Calibri"/>
          <w:sz w:val="22"/>
          <w:szCs w:val="22"/>
        </w:rPr>
        <w:t xml:space="preserve"> to create an investment pool that would put the city’s investments under professional management.  The pool will be accounted for as an investment trust fund.  The name of the fund, when it is established in early 201</w:t>
      </w:r>
      <w:r w:rsidR="00224CE1" w:rsidRPr="00EE404C">
        <w:rPr>
          <w:rFonts w:ascii="Calibri" w:eastAsia="Times New Roman" w:hAnsi="Calibri" w:cs="Calibri"/>
          <w:sz w:val="22"/>
          <w:szCs w:val="22"/>
        </w:rPr>
        <w:t>8</w:t>
      </w:r>
      <w:r w:rsidRPr="00EE404C">
        <w:rPr>
          <w:rFonts w:ascii="Calibri" w:eastAsia="Times New Roman" w:hAnsi="Calibri" w:cs="Calibri"/>
          <w:sz w:val="22"/>
          <w:szCs w:val="22"/>
        </w:rPr>
        <w:t>, will be the Investment Pool Fund.  The initial participants in the Investment Pool Fund will be the city’s debt service fund and the Bingham</w:t>
      </w:r>
      <w:r w:rsidR="00224CE1" w:rsidRPr="00EE404C">
        <w:rPr>
          <w:rFonts w:ascii="Calibri" w:eastAsia="Times New Roman" w:hAnsi="Calibri" w:cs="Calibri"/>
          <w:sz w:val="22"/>
          <w:szCs w:val="22"/>
        </w:rPr>
        <w:t xml:space="preserve"> </w:t>
      </w:r>
      <w:r w:rsidRPr="00EE404C">
        <w:rPr>
          <w:rFonts w:ascii="Calibri" w:eastAsia="Times New Roman" w:hAnsi="Calibri" w:cs="Calibri"/>
          <w:sz w:val="22"/>
          <w:szCs w:val="22"/>
        </w:rPr>
        <w:t xml:space="preserve">Consolidated School District (CSD).  </w:t>
      </w:r>
    </w:p>
    <w:p w14:paraId="03BB6931" w14:textId="77777777" w:rsidR="00A23B98" w:rsidRPr="00EE404C" w:rsidRDefault="00A23B98" w:rsidP="00D46BD8">
      <w:pPr>
        <w:jc w:val="both"/>
        <w:rPr>
          <w:rFonts w:ascii="Calibri" w:eastAsia="Times New Roman" w:hAnsi="Calibri" w:cs="Calibri"/>
          <w:sz w:val="22"/>
          <w:szCs w:val="22"/>
        </w:rPr>
      </w:pPr>
    </w:p>
    <w:p w14:paraId="598342BB" w14:textId="736A0E73" w:rsidR="00FA2CF8" w:rsidRPr="00EE404C" w:rsidRDefault="00AE6FF7" w:rsidP="00D46BD8">
      <w:pPr>
        <w:jc w:val="both"/>
        <w:rPr>
          <w:rFonts w:ascii="Calibri" w:eastAsia="Times New Roman" w:hAnsi="Calibri" w:cs="Calibri"/>
          <w:sz w:val="22"/>
          <w:szCs w:val="22"/>
        </w:rPr>
      </w:pPr>
      <w:r w:rsidRPr="00EE404C">
        <w:rPr>
          <w:rFonts w:ascii="Calibri" w:eastAsia="Times New Roman" w:hAnsi="Calibri" w:cs="Calibri"/>
          <w:sz w:val="22"/>
          <w:szCs w:val="22"/>
        </w:rPr>
        <w:t xml:space="preserve">The pool will be accounted for in accordance with GASB standards applicable to fiduciary funds; therefore, the city’s debt service fund assets managed by the investment pool will not be reported in the Investment Pool Fund financial statements. </w:t>
      </w:r>
    </w:p>
    <w:p w14:paraId="46B9543A" w14:textId="77777777" w:rsidR="00FA2CF8" w:rsidRPr="00EE404C" w:rsidRDefault="00FA2CF8" w:rsidP="00D46BD8">
      <w:pPr>
        <w:jc w:val="both"/>
        <w:rPr>
          <w:rFonts w:ascii="Calibri" w:eastAsia="Times New Roman" w:hAnsi="Calibri" w:cs="Calibri"/>
          <w:sz w:val="22"/>
          <w:szCs w:val="22"/>
        </w:rPr>
      </w:pPr>
    </w:p>
    <w:p w14:paraId="222A7C47" w14:textId="5C5E8C81" w:rsidR="00FA2CF8" w:rsidRPr="00EE404C" w:rsidRDefault="00FA2CF8" w:rsidP="00D46BD8">
      <w:pPr>
        <w:jc w:val="both"/>
        <w:rPr>
          <w:rFonts w:ascii="Calibri" w:eastAsia="Times New Roman" w:hAnsi="Calibri" w:cs="Calibri"/>
          <w:sz w:val="22"/>
          <w:szCs w:val="22"/>
        </w:rPr>
      </w:pPr>
      <w:r w:rsidRPr="00EE404C">
        <w:rPr>
          <w:rFonts w:ascii="Calibri" w:hAnsi="Calibri" w:cs="Calibri"/>
          <w:color w:val="333333"/>
          <w:sz w:val="22"/>
          <w:szCs w:val="22"/>
        </w:rPr>
        <w:t>Bingham as the administrator of the external investment pool also participates in the pool; therefore, its equity is considered</w:t>
      </w:r>
      <w:r w:rsidRPr="00EE404C">
        <w:rPr>
          <w:rStyle w:val="apple-converted-space"/>
          <w:rFonts w:ascii="Calibri" w:hAnsi="Calibri" w:cs="Calibri"/>
          <w:color w:val="333333"/>
          <w:sz w:val="22"/>
          <w:szCs w:val="22"/>
        </w:rPr>
        <w:t> </w:t>
      </w:r>
      <w:r w:rsidRPr="00EE404C">
        <w:rPr>
          <w:rStyle w:val="Emphasis"/>
          <w:rFonts w:ascii="Calibri" w:hAnsi="Calibri" w:cs="Calibri"/>
          <w:color w:val="333333"/>
          <w:sz w:val="22"/>
          <w:szCs w:val="22"/>
        </w:rPr>
        <w:t>internal</w:t>
      </w:r>
      <w:r w:rsidRPr="00EE404C">
        <w:rPr>
          <w:rStyle w:val="apple-converted-space"/>
          <w:rFonts w:ascii="Calibri" w:hAnsi="Calibri" w:cs="Calibri"/>
          <w:color w:val="333333"/>
          <w:sz w:val="22"/>
          <w:szCs w:val="22"/>
        </w:rPr>
        <w:t> </w:t>
      </w:r>
      <w:r w:rsidRPr="00EE404C">
        <w:rPr>
          <w:rFonts w:ascii="Calibri" w:hAnsi="Calibri" w:cs="Calibri"/>
          <w:color w:val="333333"/>
          <w:sz w:val="22"/>
          <w:szCs w:val="22"/>
        </w:rPr>
        <w:t>and is not reported in the financial statements of the investment trust fund. Instead, the net position and changes in net position relating to the internal portion of the pool are presented in the financial statements of each participating fund and in the governmental activities and business-type activities of the sponsoring government's government-wide financial statements.</w:t>
      </w:r>
    </w:p>
    <w:p w14:paraId="24BB57C0" w14:textId="77777777" w:rsidR="00FA2CF8" w:rsidRPr="00EE404C" w:rsidRDefault="00FA2CF8" w:rsidP="00D46BD8">
      <w:pPr>
        <w:jc w:val="both"/>
        <w:rPr>
          <w:rFonts w:ascii="Calibri" w:eastAsia="Times New Roman" w:hAnsi="Calibri" w:cs="Calibri"/>
          <w:sz w:val="22"/>
          <w:szCs w:val="22"/>
        </w:rPr>
      </w:pPr>
    </w:p>
    <w:p w14:paraId="5C888BCC" w14:textId="4D1B2084" w:rsidR="00AE6FF7" w:rsidRPr="00EE404C" w:rsidRDefault="00AE6FF7" w:rsidP="00D46BD8">
      <w:pPr>
        <w:jc w:val="both"/>
        <w:rPr>
          <w:rFonts w:ascii="Calibri" w:eastAsia="Times New Roman" w:hAnsi="Calibri" w:cs="Calibri"/>
          <w:sz w:val="22"/>
          <w:szCs w:val="22"/>
        </w:rPr>
      </w:pPr>
      <w:r w:rsidRPr="00EE404C">
        <w:rPr>
          <w:rFonts w:ascii="Calibri" w:eastAsia="Times New Roman" w:hAnsi="Calibri" w:cs="Calibri"/>
          <w:sz w:val="22"/>
          <w:szCs w:val="22"/>
        </w:rPr>
        <w:t>Unless there is a request for a withdrawal, investment earnings and changes in the fair value of investments are distributed to participants only at year-end.  During the year, investment earnings are added to an Undistributed Earnings on Pooled Investments account and changes in fair value are added to or subtracted from an Undistributed Change in Fair Value of Investments Account.</w:t>
      </w:r>
    </w:p>
    <w:p w14:paraId="7D67F5A9" w14:textId="77777777" w:rsidR="00AE6FF7" w:rsidRPr="00EE404C" w:rsidRDefault="00AE6FF7" w:rsidP="00D46BD8">
      <w:pPr>
        <w:jc w:val="both"/>
        <w:rPr>
          <w:rFonts w:ascii="Calibri" w:eastAsia="Times New Roman" w:hAnsi="Calibri" w:cs="Calibri"/>
          <w:sz w:val="22"/>
          <w:szCs w:val="22"/>
        </w:rPr>
      </w:pPr>
    </w:p>
    <w:p w14:paraId="18484B75" w14:textId="77777777" w:rsidR="00AE6FF7" w:rsidRPr="00EE404C" w:rsidRDefault="00AE6FF7" w:rsidP="00D46BD8">
      <w:pPr>
        <w:numPr>
          <w:ilvl w:val="0"/>
          <w:numId w:val="14"/>
        </w:numPr>
        <w:jc w:val="both"/>
        <w:rPr>
          <w:rFonts w:ascii="Calibri" w:eastAsia="Times New Roman" w:hAnsi="Calibri" w:cs="Calibri"/>
          <w:sz w:val="22"/>
          <w:szCs w:val="22"/>
        </w:rPr>
      </w:pPr>
      <w:r w:rsidRPr="00EE404C">
        <w:rPr>
          <w:rFonts w:ascii="Calibri" w:eastAsia="Times New Roman" w:hAnsi="Calibri" w:cs="Calibri"/>
          <w:sz w:val="22"/>
          <w:szCs w:val="22"/>
        </w:rPr>
        <w:t xml:space="preserve">Record the following transactions that occurred during </w:t>
      </w:r>
      <w:r w:rsidRPr="00EE404C">
        <w:rPr>
          <w:rFonts w:ascii="Calibri" w:eastAsia="Times New Roman" w:hAnsi="Calibri" w:cs="Calibri"/>
          <w:b/>
          <w:sz w:val="22"/>
          <w:szCs w:val="22"/>
        </w:rPr>
        <w:t>201</w:t>
      </w:r>
      <w:r w:rsidR="009D69AB" w:rsidRPr="00EE404C">
        <w:rPr>
          <w:rFonts w:ascii="Calibri" w:eastAsia="Times New Roman" w:hAnsi="Calibri" w:cs="Calibri"/>
          <w:b/>
          <w:sz w:val="22"/>
          <w:szCs w:val="22"/>
        </w:rPr>
        <w:t>8</w:t>
      </w:r>
      <w:r w:rsidRPr="00EE404C">
        <w:rPr>
          <w:rFonts w:ascii="Calibri" w:eastAsia="Times New Roman" w:hAnsi="Calibri" w:cs="Calibri"/>
          <w:sz w:val="22"/>
          <w:szCs w:val="22"/>
        </w:rPr>
        <w:t xml:space="preserve"> in the Investment Pool Fund. Do not forget to click on </w:t>
      </w:r>
      <w:r w:rsidRPr="00EE404C">
        <w:rPr>
          <w:rFonts w:ascii="Calibri" w:eastAsia="Times New Roman" w:hAnsi="Calibri" w:cs="Calibri"/>
          <w:b/>
          <w:sz w:val="22"/>
          <w:szCs w:val="22"/>
        </w:rPr>
        <w:t>[Year]</w:t>
      </w:r>
      <w:r w:rsidR="009D69AB" w:rsidRPr="00EE404C">
        <w:rPr>
          <w:rFonts w:ascii="Calibri" w:eastAsia="Times New Roman" w:hAnsi="Calibri" w:cs="Calibri"/>
          <w:sz w:val="22"/>
          <w:szCs w:val="22"/>
        </w:rPr>
        <w:t xml:space="preserve"> to change the date to 2018</w:t>
      </w:r>
      <w:r w:rsidRPr="00EE404C">
        <w:rPr>
          <w:rFonts w:ascii="Calibri" w:eastAsia="Times New Roman" w:hAnsi="Calibri" w:cs="Calibri"/>
          <w:sz w:val="22"/>
          <w:szCs w:val="22"/>
        </w:rPr>
        <w:t>.</w:t>
      </w:r>
    </w:p>
    <w:p w14:paraId="2883931C" w14:textId="77777777" w:rsidR="00AE6FF7" w:rsidRPr="00EE404C" w:rsidRDefault="00AE6FF7" w:rsidP="00D46BD8">
      <w:pPr>
        <w:ind w:left="360"/>
        <w:jc w:val="both"/>
        <w:rPr>
          <w:rFonts w:ascii="Calibri" w:eastAsia="Times New Roman" w:hAnsi="Calibri" w:cs="Calibri"/>
          <w:sz w:val="22"/>
          <w:szCs w:val="22"/>
        </w:rPr>
      </w:pPr>
    </w:p>
    <w:p w14:paraId="60431EB2" w14:textId="53367AE6" w:rsidR="00EA6E65" w:rsidRPr="00EE404C" w:rsidRDefault="00AE6FF7" w:rsidP="00D46BD8">
      <w:pPr>
        <w:numPr>
          <w:ilvl w:val="1"/>
          <w:numId w:val="14"/>
        </w:numPr>
        <w:tabs>
          <w:tab w:val="clear" w:pos="1440"/>
          <w:tab w:val="num" w:pos="1170"/>
        </w:tabs>
        <w:ind w:left="1170"/>
        <w:jc w:val="both"/>
        <w:rPr>
          <w:rFonts w:ascii="Calibri" w:eastAsia="Times New Roman" w:hAnsi="Calibri" w:cs="Calibri"/>
          <w:sz w:val="22"/>
          <w:szCs w:val="22"/>
        </w:rPr>
      </w:pPr>
      <w:r w:rsidRPr="00EE404C">
        <w:rPr>
          <w:rFonts w:ascii="Calibri" w:eastAsia="Times New Roman" w:hAnsi="Calibri" w:cs="Calibri"/>
          <w:b/>
          <w:sz w:val="22"/>
          <w:szCs w:val="22"/>
        </w:rPr>
        <w:t xml:space="preserve">[Para. 8-a-1] </w:t>
      </w:r>
      <w:r w:rsidRPr="00EE404C">
        <w:rPr>
          <w:rFonts w:ascii="Calibri" w:eastAsia="Times New Roman" w:hAnsi="Calibri" w:cs="Calibri"/>
          <w:sz w:val="22"/>
          <w:szCs w:val="22"/>
        </w:rPr>
        <w:t>On March 1, 201</w:t>
      </w:r>
      <w:r w:rsidR="009D69AB" w:rsidRPr="00EE404C">
        <w:rPr>
          <w:rFonts w:ascii="Calibri" w:eastAsia="Times New Roman" w:hAnsi="Calibri" w:cs="Calibri"/>
          <w:sz w:val="22"/>
          <w:szCs w:val="22"/>
        </w:rPr>
        <w:t>8</w:t>
      </w:r>
      <w:r w:rsidRPr="00EE404C">
        <w:rPr>
          <w:rFonts w:ascii="Calibri" w:eastAsia="Times New Roman" w:hAnsi="Calibri" w:cs="Calibri"/>
          <w:sz w:val="22"/>
          <w:szCs w:val="22"/>
        </w:rPr>
        <w:t xml:space="preserve">, the Investment Pool Fund was formally established </w:t>
      </w:r>
    </w:p>
    <w:p w14:paraId="6C15BC1E" w14:textId="77777777" w:rsidR="00EA6E65" w:rsidRPr="00EE404C" w:rsidRDefault="00EA6E65" w:rsidP="00EA6E65">
      <w:pPr>
        <w:ind w:left="1170"/>
        <w:jc w:val="both"/>
        <w:rPr>
          <w:rFonts w:ascii="Calibri" w:eastAsia="Times New Roman" w:hAnsi="Calibri" w:cs="Calibri"/>
          <w:sz w:val="22"/>
          <w:szCs w:val="22"/>
        </w:rPr>
      </w:pPr>
    </w:p>
    <w:p w14:paraId="6B79ECA0" w14:textId="647690CE" w:rsidR="00FA2CF8" w:rsidRPr="00EE404C" w:rsidRDefault="00EA6E65" w:rsidP="00EA6E65">
      <w:pPr>
        <w:numPr>
          <w:ilvl w:val="0"/>
          <w:numId w:val="28"/>
        </w:numPr>
        <w:jc w:val="both"/>
        <w:rPr>
          <w:rFonts w:ascii="Calibri" w:eastAsia="Times New Roman" w:hAnsi="Calibri" w:cs="Calibri"/>
          <w:sz w:val="22"/>
          <w:szCs w:val="22"/>
        </w:rPr>
      </w:pPr>
      <w:r w:rsidRPr="00EE404C">
        <w:rPr>
          <w:rFonts w:ascii="Calibri" w:eastAsia="Times New Roman" w:hAnsi="Calibri" w:cs="Calibri"/>
          <w:b/>
          <w:sz w:val="22"/>
          <w:szCs w:val="22"/>
        </w:rPr>
        <w:t xml:space="preserve">Record </w:t>
      </w:r>
      <w:r w:rsidRPr="00EE404C">
        <w:rPr>
          <w:rFonts w:ascii="Calibri" w:eastAsia="Times New Roman" w:hAnsi="Calibri" w:cs="Calibri"/>
          <w:sz w:val="22"/>
          <w:szCs w:val="22"/>
        </w:rPr>
        <w:t xml:space="preserve">the </w:t>
      </w:r>
      <w:r w:rsidR="00AE6FF7" w:rsidRPr="00EE404C">
        <w:rPr>
          <w:rFonts w:ascii="Calibri" w:eastAsia="Times New Roman" w:hAnsi="Calibri" w:cs="Calibri"/>
          <w:sz w:val="22"/>
          <w:szCs w:val="22"/>
        </w:rPr>
        <w:t>receipt of $</w:t>
      </w:r>
      <w:r w:rsidR="00FB7F84" w:rsidRPr="00EE404C">
        <w:rPr>
          <w:rFonts w:ascii="Calibri" w:eastAsia="Times New Roman" w:hAnsi="Calibri" w:cs="Calibri"/>
          <w:sz w:val="22"/>
          <w:szCs w:val="22"/>
        </w:rPr>
        <w:t>22</w:t>
      </w:r>
      <w:r w:rsidR="003B6B94" w:rsidRPr="00EE404C">
        <w:rPr>
          <w:rFonts w:ascii="Calibri" w:eastAsia="Times New Roman" w:hAnsi="Calibri" w:cs="Calibri"/>
          <w:sz w:val="22"/>
          <w:szCs w:val="22"/>
        </w:rPr>
        <w:t>0</w:t>
      </w:r>
      <w:r w:rsidR="00AE6FF7" w:rsidRPr="00EE404C">
        <w:rPr>
          <w:rFonts w:ascii="Calibri" w:eastAsia="Times New Roman" w:hAnsi="Calibri" w:cs="Calibri"/>
          <w:sz w:val="22"/>
          <w:szCs w:val="22"/>
        </w:rPr>
        <w:t>,000 in cash from the city’s own debt service fund</w:t>
      </w:r>
      <w:r w:rsidR="00FA2CF8" w:rsidRPr="00EE404C">
        <w:rPr>
          <w:rFonts w:ascii="Calibri" w:eastAsia="Times New Roman" w:hAnsi="Calibri" w:cs="Calibri"/>
          <w:sz w:val="22"/>
          <w:szCs w:val="22"/>
        </w:rPr>
        <w:t xml:space="preserve"> (</w:t>
      </w:r>
      <w:r w:rsidR="00E412B5" w:rsidRPr="00EE404C">
        <w:rPr>
          <w:rFonts w:ascii="Calibri" w:eastAsia="Times New Roman" w:hAnsi="Calibri" w:cs="Calibri"/>
          <w:sz w:val="22"/>
          <w:szCs w:val="22"/>
        </w:rPr>
        <w:t xml:space="preserve">Acct </w:t>
      </w:r>
      <w:r w:rsidR="00FA2CF8" w:rsidRPr="00EE404C">
        <w:rPr>
          <w:rFonts w:ascii="Calibri" w:eastAsia="Times New Roman" w:hAnsi="Calibri" w:cs="Calibri"/>
          <w:sz w:val="22"/>
          <w:szCs w:val="22"/>
        </w:rPr>
        <w:t xml:space="preserve">2031) Due to Debt Service Fund. </w:t>
      </w:r>
    </w:p>
    <w:p w14:paraId="042BAC39" w14:textId="3158C10A" w:rsidR="00FA2CF8" w:rsidRPr="00EE404C" w:rsidRDefault="00FA2CF8" w:rsidP="00D46BD8">
      <w:pPr>
        <w:jc w:val="both"/>
        <w:rPr>
          <w:rFonts w:ascii="Calibri" w:eastAsia="Times New Roman" w:hAnsi="Calibri" w:cs="Calibri"/>
          <w:sz w:val="22"/>
          <w:szCs w:val="22"/>
        </w:rPr>
      </w:pPr>
    </w:p>
    <w:p w14:paraId="2FFBA574" w14:textId="5DBA9274" w:rsidR="00FA2CF8" w:rsidRPr="00EE404C" w:rsidRDefault="00EA6E65" w:rsidP="00EA6E65">
      <w:pPr>
        <w:numPr>
          <w:ilvl w:val="0"/>
          <w:numId w:val="28"/>
        </w:numPr>
        <w:jc w:val="both"/>
        <w:rPr>
          <w:rFonts w:ascii="Calibri" w:eastAsia="Times New Roman" w:hAnsi="Calibri" w:cs="Calibri"/>
          <w:sz w:val="22"/>
          <w:szCs w:val="22"/>
        </w:rPr>
      </w:pPr>
      <w:r w:rsidRPr="00EE404C">
        <w:rPr>
          <w:rFonts w:ascii="Calibri" w:eastAsia="Times New Roman" w:hAnsi="Calibri" w:cs="Calibri"/>
          <w:b/>
          <w:sz w:val="22"/>
          <w:szCs w:val="22"/>
        </w:rPr>
        <w:t>Record</w:t>
      </w:r>
      <w:r w:rsidRPr="00EE404C">
        <w:rPr>
          <w:rFonts w:ascii="Calibri" w:eastAsia="Times New Roman" w:hAnsi="Calibri" w:cs="Calibri"/>
          <w:sz w:val="22"/>
          <w:szCs w:val="22"/>
        </w:rPr>
        <w:t xml:space="preserve"> the </w:t>
      </w:r>
      <w:r w:rsidR="00AE6FF7" w:rsidRPr="00EE404C">
        <w:rPr>
          <w:rFonts w:ascii="Calibri" w:eastAsia="Times New Roman" w:hAnsi="Calibri" w:cs="Calibri"/>
          <w:sz w:val="22"/>
          <w:szCs w:val="22"/>
        </w:rPr>
        <w:t xml:space="preserve">receipt </w:t>
      </w:r>
      <w:r w:rsidR="00FA2CF8" w:rsidRPr="00EE404C">
        <w:rPr>
          <w:rFonts w:ascii="Calibri" w:eastAsia="Times New Roman" w:hAnsi="Calibri" w:cs="Calibri"/>
          <w:sz w:val="22"/>
          <w:szCs w:val="22"/>
        </w:rPr>
        <w:t>of an investment (</w:t>
      </w:r>
      <w:r w:rsidR="00E412B5" w:rsidRPr="00EE404C">
        <w:rPr>
          <w:rFonts w:ascii="Calibri" w:eastAsia="Times New Roman" w:hAnsi="Calibri" w:cs="Calibri"/>
          <w:sz w:val="22"/>
          <w:szCs w:val="22"/>
        </w:rPr>
        <w:t xml:space="preserve">Acct </w:t>
      </w:r>
      <w:r w:rsidR="00FA2CF8" w:rsidRPr="00EE404C">
        <w:rPr>
          <w:rFonts w:ascii="Calibri" w:eastAsia="Times New Roman" w:hAnsi="Calibri" w:cs="Calibri"/>
          <w:sz w:val="22"/>
          <w:szCs w:val="22"/>
        </w:rPr>
        <w:t xml:space="preserve">1071) </w:t>
      </w:r>
      <w:r w:rsidR="00AE6FF7" w:rsidRPr="00EE404C">
        <w:rPr>
          <w:rFonts w:ascii="Calibri" w:eastAsia="Times New Roman" w:hAnsi="Calibri" w:cs="Calibri"/>
          <w:sz w:val="22"/>
          <w:szCs w:val="22"/>
        </w:rPr>
        <w:t xml:space="preserve">from the Bingham CSD of </w:t>
      </w:r>
      <w:r w:rsidR="003B6B94" w:rsidRPr="00EE404C">
        <w:rPr>
          <w:rFonts w:ascii="Calibri" w:eastAsia="Times New Roman" w:hAnsi="Calibri" w:cs="Calibri"/>
          <w:sz w:val="22"/>
          <w:szCs w:val="22"/>
        </w:rPr>
        <w:t xml:space="preserve">cash </w:t>
      </w:r>
      <w:r w:rsidR="00AE6FF7" w:rsidRPr="00EE404C">
        <w:rPr>
          <w:rFonts w:ascii="Calibri" w:eastAsia="Times New Roman" w:hAnsi="Calibri" w:cs="Calibri"/>
          <w:sz w:val="22"/>
          <w:szCs w:val="22"/>
        </w:rPr>
        <w:t xml:space="preserve">bonds </w:t>
      </w:r>
      <w:r w:rsidR="00894530" w:rsidRPr="00EE404C">
        <w:rPr>
          <w:rFonts w:ascii="Calibri" w:eastAsia="Times New Roman" w:hAnsi="Calibri" w:cs="Calibri"/>
          <w:sz w:val="22"/>
          <w:szCs w:val="22"/>
        </w:rPr>
        <w:t>having a market value of $622</w:t>
      </w:r>
      <w:r w:rsidR="00E412B5" w:rsidRPr="00EE404C">
        <w:rPr>
          <w:rFonts w:ascii="Calibri" w:eastAsia="Times New Roman" w:hAnsi="Calibri" w:cs="Calibri"/>
          <w:sz w:val="22"/>
          <w:szCs w:val="22"/>
        </w:rPr>
        <w:t xml:space="preserve">,000 on this date </w:t>
      </w:r>
      <w:r w:rsidR="00FA2CF8" w:rsidRPr="00EE404C">
        <w:rPr>
          <w:rFonts w:ascii="Calibri" w:eastAsia="Times New Roman" w:hAnsi="Calibri" w:cs="Calibri"/>
          <w:sz w:val="22"/>
          <w:szCs w:val="22"/>
        </w:rPr>
        <w:t>(Investments are recorded at market</w:t>
      </w:r>
      <w:r w:rsidR="00E412B5" w:rsidRPr="00EE404C">
        <w:rPr>
          <w:rFonts w:ascii="Calibri" w:eastAsia="Times New Roman" w:hAnsi="Calibri" w:cs="Calibri"/>
          <w:sz w:val="22"/>
          <w:szCs w:val="22"/>
        </w:rPr>
        <w:t xml:space="preserve"> value on the date of receipt), and the receipt of Interest receivable in the amount of $3,100 (Acct 1090). Both of the</w:t>
      </w:r>
      <w:r w:rsidR="00AE3E3D" w:rsidRPr="00EE404C">
        <w:rPr>
          <w:rFonts w:ascii="Calibri" w:eastAsia="Times New Roman" w:hAnsi="Calibri" w:cs="Calibri"/>
          <w:sz w:val="22"/>
          <w:szCs w:val="22"/>
        </w:rPr>
        <w:t>se</w:t>
      </w:r>
      <w:r w:rsidR="00E412B5" w:rsidRPr="00EE404C">
        <w:rPr>
          <w:rFonts w:ascii="Calibri" w:eastAsia="Times New Roman" w:hAnsi="Calibri" w:cs="Calibri"/>
          <w:sz w:val="22"/>
          <w:szCs w:val="22"/>
        </w:rPr>
        <w:t xml:space="preserve"> receipts from the CSD will affect the amount recorded as </w:t>
      </w:r>
      <w:r w:rsidR="00A07AAD" w:rsidRPr="00EE404C">
        <w:rPr>
          <w:rFonts w:ascii="Calibri" w:eastAsia="Times New Roman" w:hAnsi="Calibri" w:cs="Calibri"/>
          <w:sz w:val="22"/>
          <w:szCs w:val="22"/>
        </w:rPr>
        <w:t>Additions – Deposits in Pooled Investments</w:t>
      </w:r>
      <w:r w:rsidR="00E412B5" w:rsidRPr="00EE404C">
        <w:rPr>
          <w:rFonts w:ascii="Calibri" w:eastAsia="Times New Roman" w:hAnsi="Calibri" w:cs="Calibri"/>
          <w:sz w:val="22"/>
          <w:szCs w:val="22"/>
        </w:rPr>
        <w:t xml:space="preserve"> (Acct 4800)</w:t>
      </w:r>
      <w:r w:rsidR="00A07AAD" w:rsidRPr="00EE404C">
        <w:rPr>
          <w:rFonts w:ascii="Calibri" w:eastAsia="Times New Roman" w:hAnsi="Calibri" w:cs="Calibri"/>
          <w:sz w:val="22"/>
          <w:szCs w:val="22"/>
        </w:rPr>
        <w:t xml:space="preserve">. </w:t>
      </w:r>
    </w:p>
    <w:p w14:paraId="68F98B3F" w14:textId="77777777" w:rsidR="00FA2CF8" w:rsidRPr="00EE404C" w:rsidRDefault="00FA2CF8" w:rsidP="00D46BD8">
      <w:pPr>
        <w:ind w:left="1170"/>
        <w:jc w:val="both"/>
        <w:rPr>
          <w:rFonts w:ascii="Calibri" w:eastAsia="Times New Roman" w:hAnsi="Calibri" w:cs="Calibri"/>
          <w:sz w:val="22"/>
          <w:szCs w:val="22"/>
        </w:rPr>
      </w:pPr>
    </w:p>
    <w:p w14:paraId="1FB09BCC" w14:textId="1DEC08EA" w:rsidR="00AE6FF7" w:rsidRPr="00EE404C" w:rsidRDefault="00A07AAD" w:rsidP="00D46BD8">
      <w:pPr>
        <w:ind w:left="1440"/>
        <w:jc w:val="both"/>
        <w:rPr>
          <w:rFonts w:ascii="Calibri" w:eastAsia="Times New Roman" w:hAnsi="Calibri" w:cs="Calibri"/>
          <w:sz w:val="22"/>
          <w:szCs w:val="22"/>
        </w:rPr>
      </w:pPr>
      <w:r w:rsidRPr="00EE404C">
        <w:rPr>
          <w:rFonts w:ascii="Calibri" w:eastAsia="Times New Roman" w:hAnsi="Calibri" w:cs="Calibri"/>
          <w:sz w:val="22"/>
          <w:szCs w:val="22"/>
        </w:rPr>
        <w:t xml:space="preserve">NOTE: </w:t>
      </w:r>
      <w:r w:rsidR="00AE6FF7" w:rsidRPr="00EE404C">
        <w:rPr>
          <w:rFonts w:ascii="Calibri" w:eastAsia="Times New Roman" w:hAnsi="Calibri" w:cs="Calibri"/>
          <w:sz w:val="22"/>
          <w:szCs w:val="22"/>
        </w:rPr>
        <w:t xml:space="preserve">The bonds purchased by the Bingham CSD had a book </w:t>
      </w:r>
      <w:r w:rsidR="005E16F9" w:rsidRPr="00EE404C">
        <w:rPr>
          <w:rFonts w:ascii="Calibri" w:eastAsia="Times New Roman" w:hAnsi="Calibri" w:cs="Calibri"/>
          <w:sz w:val="22"/>
          <w:szCs w:val="22"/>
        </w:rPr>
        <w:t>value of $620</w:t>
      </w:r>
      <w:r w:rsidR="00AE6FF7" w:rsidRPr="00EE404C">
        <w:rPr>
          <w:rFonts w:ascii="Calibri" w:eastAsia="Times New Roman" w:hAnsi="Calibri" w:cs="Calibri"/>
          <w:sz w:val="22"/>
          <w:szCs w:val="22"/>
        </w:rPr>
        <w:t>,000 on March 1, 201</w:t>
      </w:r>
      <w:r w:rsidR="009D69AB" w:rsidRPr="00EE404C">
        <w:rPr>
          <w:rFonts w:ascii="Calibri" w:eastAsia="Times New Roman" w:hAnsi="Calibri" w:cs="Calibri"/>
          <w:sz w:val="22"/>
          <w:szCs w:val="22"/>
        </w:rPr>
        <w:t>8</w:t>
      </w:r>
      <w:r w:rsidR="00AE6FF7" w:rsidRPr="00EE404C">
        <w:rPr>
          <w:rFonts w:ascii="Calibri" w:eastAsia="Times New Roman" w:hAnsi="Calibri" w:cs="Calibri"/>
          <w:sz w:val="22"/>
          <w:szCs w:val="22"/>
        </w:rPr>
        <w:t>. The bonds receive semi-annua</w:t>
      </w:r>
      <w:r w:rsidR="009D69AB" w:rsidRPr="00EE404C">
        <w:rPr>
          <w:rFonts w:ascii="Calibri" w:eastAsia="Times New Roman" w:hAnsi="Calibri" w:cs="Calibri"/>
          <w:sz w:val="22"/>
          <w:szCs w:val="22"/>
        </w:rPr>
        <w:t xml:space="preserve">l interest of </w:t>
      </w:r>
      <w:r w:rsidR="005E16F9" w:rsidRPr="00EE404C">
        <w:rPr>
          <w:rFonts w:ascii="Calibri" w:eastAsia="Times New Roman" w:hAnsi="Calibri" w:cs="Calibri"/>
          <w:sz w:val="22"/>
          <w:szCs w:val="22"/>
        </w:rPr>
        <w:t>3</w:t>
      </w:r>
      <w:r w:rsidR="00AE6FF7" w:rsidRPr="00EE404C">
        <w:rPr>
          <w:rFonts w:ascii="Calibri" w:eastAsia="Times New Roman" w:hAnsi="Calibri" w:cs="Calibri"/>
          <w:sz w:val="22"/>
          <w:szCs w:val="22"/>
        </w:rPr>
        <w:t xml:space="preserve"> percent per annum, on July 1 and January 1 each year.  </w:t>
      </w:r>
    </w:p>
    <w:p w14:paraId="031EC4FD" w14:textId="77777777" w:rsidR="00EA6E65" w:rsidRPr="00EE404C" w:rsidRDefault="00EA6E65" w:rsidP="00D46BD8">
      <w:pPr>
        <w:ind w:left="1440"/>
        <w:jc w:val="both"/>
        <w:rPr>
          <w:rFonts w:ascii="Calibri" w:eastAsia="Times New Roman" w:hAnsi="Calibri" w:cs="Calibri"/>
          <w:sz w:val="22"/>
          <w:szCs w:val="22"/>
        </w:rPr>
      </w:pPr>
    </w:p>
    <w:p w14:paraId="511C1A63" w14:textId="56ECB2DA" w:rsidR="00FA2CF8" w:rsidRPr="00EE404C" w:rsidRDefault="003F7DB4" w:rsidP="00D46BD8">
      <w:pPr>
        <w:jc w:val="both"/>
        <w:rPr>
          <w:rFonts w:ascii="Calibri" w:eastAsia="Times New Roman" w:hAnsi="Calibri" w:cs="Calibri"/>
          <w:sz w:val="22"/>
          <w:szCs w:val="22"/>
        </w:rPr>
      </w:pPr>
      <w:r>
        <w:rPr>
          <w:noProof/>
          <w:lang w:eastAsia="en-US"/>
        </w:rPr>
        <w:drawing>
          <wp:inline distT="0" distB="0" distL="0" distR="0" wp14:anchorId="3BD061BB" wp14:editId="2D956266">
            <wp:extent cx="54864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876300"/>
                    </a:xfrm>
                    <a:prstGeom prst="rect">
                      <a:avLst/>
                    </a:prstGeom>
                    <a:noFill/>
                    <a:ln>
                      <a:noFill/>
                    </a:ln>
                  </pic:spPr>
                </pic:pic>
              </a:graphicData>
            </a:graphic>
          </wp:inline>
        </w:drawing>
      </w:r>
    </w:p>
    <w:p w14:paraId="5555976E" w14:textId="77777777" w:rsidR="00AE6FF7" w:rsidRPr="00EE404C" w:rsidRDefault="00AE6FF7" w:rsidP="00D46BD8">
      <w:pPr>
        <w:ind w:left="810"/>
        <w:jc w:val="both"/>
        <w:rPr>
          <w:rFonts w:ascii="Calibri" w:eastAsia="Times New Roman" w:hAnsi="Calibri" w:cs="Calibri"/>
          <w:sz w:val="22"/>
          <w:szCs w:val="22"/>
        </w:rPr>
      </w:pPr>
    </w:p>
    <w:p w14:paraId="64DD2DE0" w14:textId="77777777" w:rsidR="00AE3E3D" w:rsidRPr="00EE404C" w:rsidRDefault="00AE6FF7" w:rsidP="00EA6E65">
      <w:pPr>
        <w:numPr>
          <w:ilvl w:val="1"/>
          <w:numId w:val="28"/>
        </w:numPr>
        <w:ind w:left="1170"/>
        <w:jc w:val="both"/>
        <w:rPr>
          <w:rFonts w:ascii="Calibri" w:eastAsia="Times New Roman" w:hAnsi="Calibri" w:cs="Calibri"/>
          <w:sz w:val="22"/>
          <w:szCs w:val="22"/>
        </w:rPr>
      </w:pPr>
      <w:r w:rsidRPr="00EE404C">
        <w:rPr>
          <w:rFonts w:ascii="Calibri" w:eastAsia="Times New Roman" w:hAnsi="Calibri" w:cs="Calibri"/>
          <w:b/>
          <w:sz w:val="22"/>
          <w:szCs w:val="22"/>
        </w:rPr>
        <w:lastRenderedPageBreak/>
        <w:t xml:space="preserve">[Para. 8-a-2] </w:t>
      </w:r>
      <w:r w:rsidRPr="00EE404C">
        <w:rPr>
          <w:rFonts w:ascii="Calibri" w:eastAsia="Times New Roman" w:hAnsi="Calibri" w:cs="Calibri"/>
          <w:sz w:val="22"/>
          <w:szCs w:val="22"/>
        </w:rPr>
        <w:t>The Investment Pool Fund manager purchased 4</w:t>
      </w:r>
      <w:r w:rsidR="0055606F" w:rsidRPr="00EE404C">
        <w:rPr>
          <w:rFonts w:ascii="Calibri" w:eastAsia="Times New Roman" w:hAnsi="Calibri" w:cs="Calibri"/>
          <w:sz w:val="22"/>
          <w:szCs w:val="22"/>
        </w:rPr>
        <w:t>.5</w:t>
      </w:r>
      <w:r w:rsidRPr="00EE404C">
        <w:rPr>
          <w:rFonts w:ascii="Calibri" w:eastAsia="Times New Roman" w:hAnsi="Calibri" w:cs="Calibri"/>
          <w:sz w:val="22"/>
          <w:szCs w:val="22"/>
        </w:rPr>
        <w:t xml:space="preserve"> percent bonds on March 1 in the amount of $</w:t>
      </w:r>
      <w:r w:rsidR="0055606F" w:rsidRPr="00EE404C">
        <w:rPr>
          <w:rFonts w:ascii="Calibri" w:eastAsia="Times New Roman" w:hAnsi="Calibri" w:cs="Calibri"/>
          <w:sz w:val="22"/>
          <w:szCs w:val="22"/>
        </w:rPr>
        <w:t>200</w:t>
      </w:r>
      <w:r w:rsidRPr="00EE404C">
        <w:rPr>
          <w:rFonts w:ascii="Calibri" w:eastAsia="Times New Roman" w:hAnsi="Calibri" w:cs="Calibri"/>
          <w:sz w:val="22"/>
          <w:szCs w:val="22"/>
        </w:rPr>
        <w:t>,000</w:t>
      </w:r>
      <w:r w:rsidR="008B792A" w:rsidRPr="00EE404C">
        <w:rPr>
          <w:rFonts w:ascii="Calibri" w:eastAsia="Times New Roman" w:hAnsi="Calibri" w:cs="Calibri"/>
          <w:sz w:val="22"/>
          <w:szCs w:val="22"/>
        </w:rPr>
        <w:t xml:space="preserve"> (1071)</w:t>
      </w:r>
      <w:r w:rsidRPr="00EE404C">
        <w:rPr>
          <w:rFonts w:ascii="Calibri" w:eastAsia="Times New Roman" w:hAnsi="Calibri" w:cs="Calibri"/>
          <w:sz w:val="22"/>
          <w:szCs w:val="22"/>
        </w:rPr>
        <w:t>.  Because the bonds pay interest semi-annual</w:t>
      </w:r>
      <w:r w:rsidR="00AE3E3D" w:rsidRPr="00EE404C">
        <w:rPr>
          <w:rFonts w:ascii="Calibri" w:eastAsia="Times New Roman" w:hAnsi="Calibri" w:cs="Calibri"/>
          <w:sz w:val="22"/>
          <w:szCs w:val="22"/>
        </w:rPr>
        <w:t xml:space="preserve">ly on January 1 and July 1, the fund manager had to prepay accrued interest on the bonds for this March purchase in the amount of </w:t>
      </w:r>
      <w:r w:rsidR="009D69AB" w:rsidRPr="00EE404C">
        <w:rPr>
          <w:rFonts w:ascii="Calibri" w:eastAsia="Times New Roman" w:hAnsi="Calibri" w:cs="Calibri"/>
          <w:sz w:val="22"/>
          <w:szCs w:val="22"/>
        </w:rPr>
        <w:t>$1,5</w:t>
      </w:r>
      <w:r w:rsidR="00AE3E3D" w:rsidRPr="00EE404C">
        <w:rPr>
          <w:rFonts w:ascii="Calibri" w:eastAsia="Times New Roman" w:hAnsi="Calibri" w:cs="Calibri"/>
          <w:sz w:val="22"/>
          <w:szCs w:val="22"/>
        </w:rPr>
        <w:t xml:space="preserve">00 (Acct 1090). </w:t>
      </w:r>
    </w:p>
    <w:p w14:paraId="4F9F4B40" w14:textId="62795C77" w:rsidR="00AE6FF7" w:rsidRPr="00EE404C" w:rsidRDefault="00AE3E3D" w:rsidP="00AE3E3D">
      <w:pPr>
        <w:ind w:left="1170"/>
        <w:jc w:val="both"/>
        <w:rPr>
          <w:rFonts w:ascii="Calibri" w:eastAsia="Times New Roman" w:hAnsi="Calibri" w:cs="Calibri"/>
          <w:sz w:val="22"/>
          <w:szCs w:val="22"/>
        </w:rPr>
      </w:pPr>
      <w:r w:rsidRPr="00EE404C">
        <w:rPr>
          <w:rFonts w:ascii="Calibri" w:eastAsia="Times New Roman" w:hAnsi="Calibri" w:cs="Calibri"/>
          <w:sz w:val="22"/>
          <w:szCs w:val="22"/>
        </w:rPr>
        <w:t xml:space="preserve"> </w:t>
      </w:r>
    </w:p>
    <w:p w14:paraId="032737B5" w14:textId="2C633CDA" w:rsidR="008B792A" w:rsidRPr="00EE404C" w:rsidRDefault="003F7DB4" w:rsidP="00D46BD8">
      <w:pPr>
        <w:jc w:val="both"/>
        <w:rPr>
          <w:rFonts w:ascii="Calibri" w:eastAsia="Times New Roman" w:hAnsi="Calibri" w:cs="Calibri"/>
          <w:sz w:val="22"/>
          <w:szCs w:val="22"/>
        </w:rPr>
      </w:pPr>
      <w:r>
        <w:rPr>
          <w:rFonts w:ascii="Calibri" w:hAnsi="Calibri" w:cs="Calibri"/>
          <w:noProof/>
          <w:sz w:val="22"/>
          <w:szCs w:val="22"/>
          <w:lang w:eastAsia="en-US"/>
        </w:rPr>
        <w:drawing>
          <wp:inline distT="0" distB="0" distL="0" distR="0" wp14:anchorId="39365809" wp14:editId="7BB01003">
            <wp:extent cx="548640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38150"/>
                    </a:xfrm>
                    <a:prstGeom prst="rect">
                      <a:avLst/>
                    </a:prstGeom>
                    <a:noFill/>
                    <a:ln>
                      <a:noFill/>
                    </a:ln>
                  </pic:spPr>
                </pic:pic>
              </a:graphicData>
            </a:graphic>
          </wp:inline>
        </w:drawing>
      </w:r>
    </w:p>
    <w:p w14:paraId="2D16AC7E" w14:textId="77777777" w:rsidR="00AE6FF7" w:rsidRPr="00EE404C" w:rsidRDefault="00AE6FF7" w:rsidP="00D46BD8">
      <w:pPr>
        <w:jc w:val="both"/>
        <w:rPr>
          <w:rFonts w:ascii="Calibri" w:eastAsia="Times New Roman" w:hAnsi="Calibri" w:cs="Calibri"/>
          <w:sz w:val="22"/>
          <w:szCs w:val="22"/>
        </w:rPr>
      </w:pPr>
    </w:p>
    <w:p w14:paraId="52C3BD23" w14:textId="450153FA" w:rsidR="008B792A" w:rsidRPr="00EE404C" w:rsidRDefault="00AE6FF7" w:rsidP="00EA6E65">
      <w:pPr>
        <w:numPr>
          <w:ilvl w:val="1"/>
          <w:numId w:val="28"/>
        </w:numPr>
        <w:ind w:left="1170"/>
        <w:jc w:val="both"/>
        <w:rPr>
          <w:rFonts w:ascii="Calibri" w:eastAsia="Times New Roman" w:hAnsi="Calibri" w:cs="Calibri"/>
          <w:sz w:val="22"/>
          <w:szCs w:val="22"/>
        </w:rPr>
      </w:pPr>
      <w:r w:rsidRPr="00EE404C">
        <w:rPr>
          <w:rFonts w:ascii="Calibri" w:eastAsia="Times New Roman" w:hAnsi="Calibri" w:cs="Calibri"/>
          <w:b/>
          <w:sz w:val="22"/>
          <w:szCs w:val="22"/>
        </w:rPr>
        <w:t xml:space="preserve">[Para. 8-a-3] </w:t>
      </w:r>
      <w:r w:rsidRPr="00EE404C">
        <w:rPr>
          <w:rFonts w:ascii="Calibri" w:eastAsia="Times New Roman" w:hAnsi="Calibri" w:cs="Calibri"/>
          <w:sz w:val="22"/>
          <w:szCs w:val="22"/>
        </w:rPr>
        <w:t>On March 1, the Investment Pool Fund manager also purchased a 9-month ce</w:t>
      </w:r>
      <w:r w:rsidR="0055606F" w:rsidRPr="00EE404C">
        <w:rPr>
          <w:rFonts w:ascii="Calibri" w:eastAsia="Times New Roman" w:hAnsi="Calibri" w:cs="Calibri"/>
          <w:sz w:val="22"/>
          <w:szCs w:val="22"/>
        </w:rPr>
        <w:t>rtificate of deposit (CD) for $1</w:t>
      </w:r>
      <w:r w:rsidRPr="00EE404C">
        <w:rPr>
          <w:rFonts w:ascii="Calibri" w:eastAsia="Times New Roman" w:hAnsi="Calibri" w:cs="Calibri"/>
          <w:sz w:val="22"/>
          <w:szCs w:val="22"/>
        </w:rPr>
        <w:t>0,000</w:t>
      </w:r>
      <w:r w:rsidR="008B792A" w:rsidRPr="00EE404C">
        <w:rPr>
          <w:rFonts w:ascii="Calibri" w:eastAsia="Times New Roman" w:hAnsi="Calibri" w:cs="Calibri"/>
          <w:sz w:val="22"/>
          <w:szCs w:val="22"/>
        </w:rPr>
        <w:t xml:space="preserve"> (1072)</w:t>
      </w:r>
      <w:r w:rsidRPr="00EE404C">
        <w:rPr>
          <w:rFonts w:ascii="Calibri" w:eastAsia="Times New Roman" w:hAnsi="Calibri" w:cs="Calibri"/>
          <w:sz w:val="22"/>
          <w:szCs w:val="22"/>
        </w:rPr>
        <w:t xml:space="preserve">.  The interest rate on the CD is </w:t>
      </w:r>
      <w:r w:rsidR="00894530" w:rsidRPr="00EE404C">
        <w:rPr>
          <w:rFonts w:ascii="Calibri" w:eastAsia="Times New Roman" w:hAnsi="Calibri" w:cs="Calibri"/>
          <w:sz w:val="22"/>
          <w:szCs w:val="22"/>
        </w:rPr>
        <w:t>2</w:t>
      </w:r>
      <w:r w:rsidRPr="00EE404C">
        <w:rPr>
          <w:rFonts w:ascii="Calibri" w:eastAsia="Times New Roman" w:hAnsi="Calibri" w:cs="Calibri"/>
          <w:sz w:val="22"/>
          <w:szCs w:val="22"/>
        </w:rPr>
        <w:t xml:space="preserve"> percent per annum.</w:t>
      </w:r>
    </w:p>
    <w:p w14:paraId="239AEF2F" w14:textId="156F3FBD" w:rsidR="00AE6FF7" w:rsidRPr="00EE404C" w:rsidRDefault="00AE6FF7" w:rsidP="00D46BD8">
      <w:pPr>
        <w:jc w:val="both"/>
        <w:rPr>
          <w:rFonts w:ascii="Calibri" w:eastAsia="Times New Roman" w:hAnsi="Calibri" w:cs="Calibri"/>
          <w:sz w:val="22"/>
          <w:szCs w:val="22"/>
        </w:rPr>
      </w:pPr>
    </w:p>
    <w:p w14:paraId="67ECF74C" w14:textId="0F5FC5B5" w:rsidR="00AE3E3D" w:rsidRPr="00EE404C" w:rsidRDefault="003F7DB4" w:rsidP="00D46BD8">
      <w:pPr>
        <w:jc w:val="both"/>
        <w:rPr>
          <w:rFonts w:ascii="Calibri" w:eastAsia="Times New Roman" w:hAnsi="Calibri" w:cs="Calibri"/>
          <w:sz w:val="22"/>
          <w:szCs w:val="22"/>
        </w:rPr>
      </w:pPr>
      <w:r>
        <w:rPr>
          <w:rFonts w:ascii="Calibri" w:hAnsi="Calibri" w:cs="Calibri"/>
          <w:noProof/>
          <w:sz w:val="22"/>
          <w:szCs w:val="22"/>
          <w:lang w:eastAsia="en-US"/>
        </w:rPr>
        <w:drawing>
          <wp:inline distT="0" distB="0" distL="0" distR="0" wp14:anchorId="368B21B7" wp14:editId="68C958C7">
            <wp:extent cx="5486400" cy="295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95275"/>
                    </a:xfrm>
                    <a:prstGeom prst="rect">
                      <a:avLst/>
                    </a:prstGeom>
                    <a:noFill/>
                    <a:ln>
                      <a:noFill/>
                    </a:ln>
                  </pic:spPr>
                </pic:pic>
              </a:graphicData>
            </a:graphic>
          </wp:inline>
        </w:drawing>
      </w:r>
    </w:p>
    <w:p w14:paraId="577E15FE" w14:textId="77777777" w:rsidR="00097CF2" w:rsidRPr="00EE404C" w:rsidRDefault="00097CF2" w:rsidP="00D46BD8">
      <w:pPr>
        <w:jc w:val="both"/>
        <w:rPr>
          <w:rFonts w:ascii="Calibri" w:eastAsia="Times New Roman" w:hAnsi="Calibri" w:cs="Calibri"/>
          <w:sz w:val="22"/>
          <w:szCs w:val="22"/>
        </w:rPr>
      </w:pPr>
    </w:p>
    <w:p w14:paraId="09D69A52" w14:textId="6828C4AE" w:rsidR="00AE6FF7" w:rsidRPr="00EE404C" w:rsidRDefault="00AE6FF7" w:rsidP="00EA6E65">
      <w:pPr>
        <w:numPr>
          <w:ilvl w:val="1"/>
          <w:numId w:val="28"/>
        </w:numPr>
        <w:ind w:left="1170"/>
        <w:jc w:val="both"/>
        <w:rPr>
          <w:rFonts w:ascii="Calibri" w:eastAsia="Times New Roman" w:hAnsi="Calibri" w:cs="Calibri"/>
          <w:sz w:val="22"/>
          <w:szCs w:val="22"/>
        </w:rPr>
      </w:pPr>
      <w:r w:rsidRPr="00EE404C">
        <w:rPr>
          <w:rFonts w:ascii="Calibri" w:eastAsia="Times New Roman" w:hAnsi="Calibri" w:cs="Calibri"/>
          <w:b/>
          <w:sz w:val="22"/>
          <w:szCs w:val="22"/>
        </w:rPr>
        <w:t>[Para. 8-a-4]</w:t>
      </w:r>
      <w:r w:rsidR="007F510D" w:rsidRPr="00EE404C">
        <w:rPr>
          <w:rFonts w:ascii="Calibri" w:eastAsia="Times New Roman" w:hAnsi="Calibri" w:cs="Calibri"/>
          <w:sz w:val="22"/>
          <w:szCs w:val="22"/>
        </w:rPr>
        <w:t xml:space="preserve"> On July 1, interest on both </w:t>
      </w:r>
      <w:r w:rsidRPr="00EE404C">
        <w:rPr>
          <w:rFonts w:ascii="Calibri" w:eastAsia="Times New Roman" w:hAnsi="Calibri" w:cs="Calibri"/>
          <w:sz w:val="22"/>
          <w:szCs w:val="22"/>
        </w:rPr>
        <w:t xml:space="preserve">bonds in the amount of </w:t>
      </w:r>
      <w:r w:rsidR="007F510D" w:rsidRPr="00EE404C">
        <w:rPr>
          <w:rFonts w:ascii="Calibri" w:eastAsia="Times New Roman" w:hAnsi="Calibri" w:cs="Calibri"/>
          <w:sz w:val="22"/>
          <w:szCs w:val="22"/>
        </w:rPr>
        <w:t>$</w:t>
      </w:r>
      <w:r w:rsidR="00FB7F84" w:rsidRPr="00EE404C">
        <w:rPr>
          <w:rFonts w:ascii="Calibri" w:eastAsia="Times New Roman" w:hAnsi="Calibri" w:cs="Calibri"/>
          <w:sz w:val="22"/>
          <w:szCs w:val="22"/>
        </w:rPr>
        <w:t>13</w:t>
      </w:r>
      <w:r w:rsidR="007F510D" w:rsidRPr="00EE404C">
        <w:rPr>
          <w:rFonts w:ascii="Calibri" w:eastAsia="Times New Roman" w:hAnsi="Calibri" w:cs="Calibri"/>
          <w:sz w:val="22"/>
          <w:szCs w:val="22"/>
        </w:rPr>
        <w:t>,</w:t>
      </w:r>
      <w:r w:rsidR="00CF1DCB" w:rsidRPr="00EE404C">
        <w:rPr>
          <w:rFonts w:ascii="Calibri" w:eastAsia="Times New Roman" w:hAnsi="Calibri" w:cs="Calibri"/>
          <w:sz w:val="22"/>
          <w:szCs w:val="22"/>
        </w:rPr>
        <w:t>8</w:t>
      </w:r>
      <w:r w:rsidR="007F510D" w:rsidRPr="00EE404C">
        <w:rPr>
          <w:rFonts w:ascii="Calibri" w:eastAsia="Times New Roman" w:hAnsi="Calibri" w:cs="Calibri"/>
          <w:sz w:val="22"/>
          <w:szCs w:val="22"/>
        </w:rPr>
        <w:t>00</w:t>
      </w:r>
      <w:r w:rsidR="00A77746" w:rsidRPr="00EE404C">
        <w:rPr>
          <w:rFonts w:ascii="Calibri" w:eastAsia="Times New Roman" w:hAnsi="Calibri" w:cs="Calibri"/>
          <w:sz w:val="22"/>
          <w:szCs w:val="22"/>
        </w:rPr>
        <w:t xml:space="preserve">  [Entries 8-a-1 and 8-a-2] was received in cash. Of this amount, </w:t>
      </w:r>
      <w:r w:rsidR="00D85BBB" w:rsidRPr="00EE404C">
        <w:rPr>
          <w:rFonts w:ascii="Calibri" w:eastAsia="Times New Roman" w:hAnsi="Calibri" w:cs="Calibri"/>
          <w:sz w:val="22"/>
          <w:szCs w:val="22"/>
        </w:rPr>
        <w:t>$9,3</w:t>
      </w:r>
      <w:r w:rsidRPr="00EE404C">
        <w:rPr>
          <w:rFonts w:ascii="Calibri" w:eastAsia="Times New Roman" w:hAnsi="Calibri" w:cs="Calibri"/>
          <w:sz w:val="22"/>
          <w:szCs w:val="22"/>
        </w:rPr>
        <w:t>00</w:t>
      </w:r>
      <w:r w:rsidR="007F510D" w:rsidRPr="00EE404C">
        <w:rPr>
          <w:rFonts w:ascii="Calibri" w:eastAsia="Times New Roman" w:hAnsi="Calibri" w:cs="Calibri"/>
          <w:sz w:val="22"/>
          <w:szCs w:val="22"/>
        </w:rPr>
        <w:t xml:space="preserve"> </w:t>
      </w:r>
      <w:r w:rsidR="008B792A" w:rsidRPr="00EE404C">
        <w:rPr>
          <w:rFonts w:ascii="Calibri" w:eastAsia="Times New Roman" w:hAnsi="Calibri" w:cs="Calibri"/>
          <w:sz w:val="22"/>
          <w:szCs w:val="22"/>
        </w:rPr>
        <w:t xml:space="preserve">related to account 2480 – Undistributed </w:t>
      </w:r>
      <w:r w:rsidR="00097CF2" w:rsidRPr="00EE404C">
        <w:rPr>
          <w:rFonts w:ascii="Calibri" w:eastAsia="Times New Roman" w:hAnsi="Calibri" w:cs="Calibri"/>
          <w:sz w:val="22"/>
          <w:szCs w:val="22"/>
        </w:rPr>
        <w:t xml:space="preserve">Earnings on </w:t>
      </w:r>
      <w:r w:rsidR="00D85BBB" w:rsidRPr="00EE404C">
        <w:rPr>
          <w:rFonts w:ascii="Calibri" w:eastAsia="Times New Roman" w:hAnsi="Calibri" w:cs="Calibri"/>
          <w:sz w:val="22"/>
          <w:szCs w:val="22"/>
        </w:rPr>
        <w:t>Pooled Investments and $4,5</w:t>
      </w:r>
      <w:r w:rsidR="007F510D" w:rsidRPr="00EE404C">
        <w:rPr>
          <w:rFonts w:ascii="Calibri" w:eastAsia="Times New Roman" w:hAnsi="Calibri" w:cs="Calibri"/>
          <w:sz w:val="22"/>
          <w:szCs w:val="22"/>
        </w:rPr>
        <w:t>00</w:t>
      </w:r>
      <w:r w:rsidR="008B792A" w:rsidRPr="00EE404C">
        <w:rPr>
          <w:rFonts w:ascii="Calibri" w:eastAsia="Times New Roman" w:hAnsi="Calibri" w:cs="Calibri"/>
          <w:sz w:val="22"/>
          <w:szCs w:val="22"/>
        </w:rPr>
        <w:t xml:space="preserve"> related to account 1090 Interest Receivable on Investments</w:t>
      </w:r>
      <w:r w:rsidR="00A77746" w:rsidRPr="00EE404C">
        <w:rPr>
          <w:rFonts w:ascii="Calibri" w:eastAsia="Times New Roman" w:hAnsi="Calibri" w:cs="Calibri"/>
          <w:sz w:val="22"/>
          <w:szCs w:val="22"/>
        </w:rPr>
        <w:t>.</w:t>
      </w:r>
    </w:p>
    <w:p w14:paraId="7F0E3E1E" w14:textId="77777777" w:rsidR="00B71895" w:rsidRPr="00EE404C" w:rsidRDefault="00B71895" w:rsidP="00B71895">
      <w:pPr>
        <w:jc w:val="both"/>
        <w:rPr>
          <w:rFonts w:ascii="Calibri" w:eastAsia="Times New Roman" w:hAnsi="Calibri" w:cs="Calibri"/>
          <w:sz w:val="22"/>
          <w:szCs w:val="22"/>
        </w:rPr>
      </w:pPr>
    </w:p>
    <w:p w14:paraId="59D42DB0" w14:textId="6293DBB4" w:rsidR="001C254F" w:rsidRPr="00EE404C" w:rsidRDefault="003F7DB4" w:rsidP="001C254F">
      <w:pPr>
        <w:jc w:val="both"/>
        <w:rPr>
          <w:rFonts w:ascii="Calibri" w:hAnsi="Calibri" w:cs="Calibri"/>
          <w:noProof/>
          <w:sz w:val="22"/>
          <w:szCs w:val="22"/>
          <w:lang w:eastAsia="en-US"/>
        </w:rPr>
      </w:pPr>
      <w:r>
        <w:rPr>
          <w:rFonts w:ascii="Calibri" w:hAnsi="Calibri" w:cs="Calibri"/>
          <w:noProof/>
          <w:sz w:val="22"/>
          <w:szCs w:val="22"/>
          <w:lang w:eastAsia="en-US"/>
        </w:rPr>
        <w:drawing>
          <wp:inline distT="0" distB="0" distL="0" distR="0" wp14:anchorId="6634D279" wp14:editId="7A5323DD">
            <wp:extent cx="5486400" cy="447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447675"/>
                    </a:xfrm>
                    <a:prstGeom prst="rect">
                      <a:avLst/>
                    </a:prstGeom>
                    <a:noFill/>
                    <a:ln>
                      <a:noFill/>
                    </a:ln>
                  </pic:spPr>
                </pic:pic>
              </a:graphicData>
            </a:graphic>
          </wp:inline>
        </w:drawing>
      </w:r>
    </w:p>
    <w:p w14:paraId="68BBB05B" w14:textId="78167BD3" w:rsidR="00B71895" w:rsidRPr="00EE404C" w:rsidRDefault="00B71895" w:rsidP="001C254F">
      <w:pPr>
        <w:jc w:val="both"/>
        <w:rPr>
          <w:rFonts w:ascii="Calibri" w:hAnsi="Calibri" w:cs="Calibri"/>
          <w:noProof/>
          <w:sz w:val="22"/>
          <w:szCs w:val="22"/>
          <w:lang w:eastAsia="en-US"/>
        </w:rPr>
      </w:pPr>
    </w:p>
    <w:p w14:paraId="11994B76" w14:textId="74866C0E" w:rsidR="00B71895" w:rsidRPr="00EE404C" w:rsidRDefault="00B71895" w:rsidP="001C254F">
      <w:pPr>
        <w:jc w:val="both"/>
        <w:rPr>
          <w:rFonts w:ascii="Calibri" w:hAnsi="Calibri" w:cs="Calibri"/>
          <w:noProof/>
          <w:sz w:val="22"/>
          <w:szCs w:val="22"/>
          <w:highlight w:val="yellow"/>
          <w:lang w:eastAsia="en-US"/>
        </w:rPr>
      </w:pPr>
      <w:r w:rsidRPr="00EE404C">
        <w:rPr>
          <w:rFonts w:ascii="Calibri" w:hAnsi="Calibri" w:cs="Calibri"/>
          <w:noProof/>
          <w:sz w:val="22"/>
          <w:szCs w:val="22"/>
          <w:highlight w:val="yellow"/>
          <w:lang w:eastAsia="en-US"/>
        </w:rPr>
        <w:t>NOTE TO ME:  Authors instructions and my calculations validate this entry but author’s solution has a $9,200 and $4,600</w:t>
      </w:r>
    </w:p>
    <w:p w14:paraId="63EC5C1B" w14:textId="70860D48" w:rsidR="00B71895" w:rsidRPr="00EE404C" w:rsidRDefault="00B71895" w:rsidP="001C254F">
      <w:pPr>
        <w:jc w:val="both"/>
        <w:rPr>
          <w:rFonts w:ascii="Calibri" w:hAnsi="Calibri" w:cs="Calibri"/>
          <w:noProof/>
          <w:sz w:val="22"/>
          <w:szCs w:val="22"/>
          <w:highlight w:val="yellow"/>
          <w:lang w:eastAsia="en-US"/>
        </w:rPr>
      </w:pPr>
    </w:p>
    <w:p w14:paraId="61B86B14" w14:textId="6EE4AF91" w:rsidR="00B71895" w:rsidRPr="00EE404C" w:rsidRDefault="00B71895" w:rsidP="001C254F">
      <w:pPr>
        <w:jc w:val="both"/>
        <w:rPr>
          <w:rFonts w:ascii="Calibri" w:hAnsi="Calibri" w:cs="Calibri"/>
          <w:noProof/>
          <w:sz w:val="22"/>
          <w:szCs w:val="22"/>
          <w:highlight w:val="yellow"/>
          <w:lang w:eastAsia="en-US"/>
        </w:rPr>
      </w:pPr>
      <w:r w:rsidRPr="00EE404C">
        <w:rPr>
          <w:rFonts w:ascii="Calibri" w:hAnsi="Calibri" w:cs="Calibri"/>
          <w:noProof/>
          <w:sz w:val="22"/>
          <w:szCs w:val="22"/>
          <w:highlight w:val="yellow"/>
          <w:lang w:eastAsia="en-US"/>
        </w:rPr>
        <w:t>My calculations</w:t>
      </w:r>
    </w:p>
    <w:p w14:paraId="17696721" w14:textId="791833CB" w:rsidR="00B71895" w:rsidRPr="00EE404C" w:rsidRDefault="003F7DB4" w:rsidP="001C254F">
      <w:pPr>
        <w:jc w:val="both"/>
        <w:rPr>
          <w:rFonts w:ascii="Calibri" w:hAnsi="Calibri" w:cs="Calibri"/>
          <w:sz w:val="22"/>
          <w:szCs w:val="22"/>
          <w:highlight w:val="yellow"/>
        </w:rPr>
      </w:pPr>
      <w:r>
        <w:rPr>
          <w:rFonts w:ascii="Calibri" w:hAnsi="Calibri" w:cs="Calibri"/>
          <w:noProof/>
          <w:sz w:val="22"/>
          <w:szCs w:val="22"/>
          <w:highlight w:val="yellow"/>
          <w:lang w:eastAsia="en-US"/>
        </w:rPr>
        <w:drawing>
          <wp:inline distT="0" distB="0" distL="0" distR="0" wp14:anchorId="449AB1BF" wp14:editId="162A8AB6">
            <wp:extent cx="3248025" cy="81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8025" cy="819150"/>
                    </a:xfrm>
                    <a:prstGeom prst="rect">
                      <a:avLst/>
                    </a:prstGeom>
                    <a:noFill/>
                    <a:ln>
                      <a:noFill/>
                    </a:ln>
                  </pic:spPr>
                </pic:pic>
              </a:graphicData>
            </a:graphic>
          </wp:inline>
        </w:drawing>
      </w:r>
    </w:p>
    <w:p w14:paraId="7FBCE240" w14:textId="20872470" w:rsidR="00B71895" w:rsidRPr="00EE404C" w:rsidRDefault="00B71895" w:rsidP="001C254F">
      <w:pPr>
        <w:jc w:val="both"/>
        <w:rPr>
          <w:rFonts w:ascii="Calibri" w:hAnsi="Calibri" w:cs="Calibri"/>
          <w:sz w:val="22"/>
          <w:szCs w:val="22"/>
          <w:highlight w:val="yellow"/>
        </w:rPr>
      </w:pPr>
    </w:p>
    <w:p w14:paraId="2D3FE4EF" w14:textId="77777777" w:rsidR="00B71895" w:rsidRPr="00EE404C" w:rsidRDefault="00B71895" w:rsidP="00B71895">
      <w:pPr>
        <w:rPr>
          <w:rFonts w:ascii="Calibri" w:eastAsia="Times New Roman" w:hAnsi="Calibri" w:cs="Calibri"/>
          <w:b/>
          <w:sz w:val="22"/>
          <w:szCs w:val="22"/>
          <w:highlight w:val="yellow"/>
        </w:rPr>
      </w:pPr>
      <w:r w:rsidRPr="00EE404C">
        <w:rPr>
          <w:rFonts w:ascii="Calibri" w:eastAsia="Times New Roman" w:hAnsi="Calibri" w:cs="Calibri"/>
          <w:b/>
          <w:sz w:val="22"/>
          <w:szCs w:val="22"/>
          <w:highlight w:val="yellow"/>
        </w:rPr>
        <w:t>Author’s instructions</w:t>
      </w:r>
    </w:p>
    <w:p w14:paraId="7B8DAB82" w14:textId="22FDDF3D" w:rsidR="00B71895" w:rsidRPr="00EE404C" w:rsidRDefault="00B71895" w:rsidP="00B71895">
      <w:pPr>
        <w:rPr>
          <w:rFonts w:ascii="Calibri" w:eastAsia="Times New Roman" w:hAnsi="Calibri" w:cs="Calibri"/>
          <w:sz w:val="22"/>
          <w:szCs w:val="22"/>
          <w:highlight w:val="yellow"/>
        </w:rPr>
      </w:pPr>
      <w:r w:rsidRPr="00EE404C">
        <w:rPr>
          <w:rFonts w:ascii="Calibri" w:eastAsia="Times New Roman" w:hAnsi="Calibri" w:cs="Calibri"/>
          <w:b/>
          <w:sz w:val="22"/>
          <w:szCs w:val="22"/>
          <w:highlight w:val="yellow"/>
        </w:rPr>
        <w:t>[Para. 8-a-4]</w:t>
      </w:r>
      <w:r w:rsidRPr="00EE404C">
        <w:rPr>
          <w:rFonts w:ascii="Calibri" w:eastAsia="Times New Roman" w:hAnsi="Calibri" w:cs="Calibri"/>
          <w:sz w:val="22"/>
          <w:szCs w:val="22"/>
          <w:highlight w:val="yellow"/>
        </w:rPr>
        <w:t xml:space="preserve"> On July 1, interest on both bonds in the amount of $13,800 ($9,300 and $4,500) was received in cash. (Note: Adjust for accrued interest.) </w:t>
      </w:r>
    </w:p>
    <w:p w14:paraId="0069DB64" w14:textId="77777777" w:rsidR="00B71895" w:rsidRPr="00EE404C" w:rsidRDefault="00B71895" w:rsidP="00B71895">
      <w:pPr>
        <w:rPr>
          <w:rFonts w:ascii="Calibri" w:eastAsia="Times New Roman" w:hAnsi="Calibri" w:cs="Calibri"/>
          <w:sz w:val="22"/>
          <w:szCs w:val="22"/>
          <w:highlight w:val="yellow"/>
        </w:rPr>
      </w:pPr>
    </w:p>
    <w:p w14:paraId="484ACCCB" w14:textId="57D0E3AA" w:rsidR="00B71895" w:rsidRPr="00EE404C" w:rsidRDefault="00B71895" w:rsidP="001C254F">
      <w:pPr>
        <w:jc w:val="both"/>
        <w:rPr>
          <w:rFonts w:ascii="Calibri" w:hAnsi="Calibri" w:cs="Calibri"/>
          <w:b/>
          <w:noProof/>
          <w:sz w:val="22"/>
          <w:szCs w:val="22"/>
          <w:highlight w:val="yellow"/>
          <w:lang w:eastAsia="en-US"/>
        </w:rPr>
      </w:pPr>
      <w:r w:rsidRPr="00EE404C">
        <w:rPr>
          <w:rFonts w:ascii="Calibri" w:hAnsi="Calibri" w:cs="Calibri"/>
          <w:b/>
          <w:noProof/>
          <w:sz w:val="22"/>
          <w:szCs w:val="22"/>
          <w:highlight w:val="yellow"/>
          <w:lang w:eastAsia="en-US"/>
        </w:rPr>
        <w:t>Author’s solution</w:t>
      </w:r>
    </w:p>
    <w:p w14:paraId="1974A978" w14:textId="5C0568F0" w:rsidR="00B71895" w:rsidRPr="00EE404C" w:rsidRDefault="003F7DB4" w:rsidP="001C254F">
      <w:pPr>
        <w:jc w:val="both"/>
        <w:rPr>
          <w:rFonts w:ascii="Calibri" w:hAnsi="Calibri" w:cs="Calibri"/>
          <w:noProof/>
          <w:sz w:val="22"/>
          <w:szCs w:val="22"/>
          <w:lang w:eastAsia="en-US"/>
        </w:rPr>
      </w:pPr>
      <w:r>
        <w:rPr>
          <w:rFonts w:ascii="Calibri" w:hAnsi="Calibri" w:cs="Calibri"/>
          <w:noProof/>
          <w:sz w:val="22"/>
          <w:szCs w:val="22"/>
          <w:highlight w:val="yellow"/>
          <w:lang w:eastAsia="en-US"/>
        </w:rPr>
        <w:drawing>
          <wp:inline distT="0" distB="0" distL="0" distR="0" wp14:anchorId="524B7937" wp14:editId="0927EEEB">
            <wp:extent cx="5486400" cy="447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447675"/>
                    </a:xfrm>
                    <a:prstGeom prst="rect">
                      <a:avLst/>
                    </a:prstGeom>
                    <a:noFill/>
                    <a:ln>
                      <a:noFill/>
                    </a:ln>
                  </pic:spPr>
                </pic:pic>
              </a:graphicData>
            </a:graphic>
          </wp:inline>
        </w:drawing>
      </w:r>
    </w:p>
    <w:p w14:paraId="3867F508" w14:textId="2AAD59B9" w:rsidR="00B71895" w:rsidRPr="00EE404C" w:rsidRDefault="00B71895" w:rsidP="001C254F">
      <w:pPr>
        <w:jc w:val="both"/>
        <w:rPr>
          <w:rFonts w:ascii="Calibri" w:hAnsi="Calibri" w:cs="Calibri"/>
          <w:noProof/>
          <w:sz w:val="22"/>
          <w:szCs w:val="22"/>
          <w:lang w:eastAsia="en-US"/>
        </w:rPr>
      </w:pPr>
    </w:p>
    <w:p w14:paraId="5757E19A" w14:textId="77777777" w:rsidR="00B71895" w:rsidRPr="00EE404C" w:rsidRDefault="00B71895" w:rsidP="001C254F">
      <w:pPr>
        <w:jc w:val="both"/>
        <w:rPr>
          <w:rFonts w:ascii="Calibri" w:eastAsia="Times New Roman" w:hAnsi="Calibri" w:cs="Calibri"/>
          <w:sz w:val="22"/>
          <w:szCs w:val="22"/>
        </w:rPr>
      </w:pPr>
    </w:p>
    <w:p w14:paraId="2EDE484F" w14:textId="4C320E8B" w:rsidR="008B792A" w:rsidRPr="00EE404C" w:rsidRDefault="008B792A" w:rsidP="00D739CE">
      <w:pPr>
        <w:jc w:val="both"/>
        <w:rPr>
          <w:rFonts w:ascii="Calibri" w:eastAsia="Times New Roman" w:hAnsi="Calibri" w:cs="Calibri"/>
          <w:sz w:val="22"/>
          <w:szCs w:val="22"/>
        </w:rPr>
      </w:pPr>
    </w:p>
    <w:p w14:paraId="382352CA" w14:textId="2544A2B7" w:rsidR="00AE6FF7" w:rsidRPr="00EE404C" w:rsidRDefault="00726A09" w:rsidP="00EA6E65">
      <w:pPr>
        <w:numPr>
          <w:ilvl w:val="1"/>
          <w:numId w:val="28"/>
        </w:numPr>
        <w:ind w:left="1170"/>
        <w:jc w:val="both"/>
        <w:rPr>
          <w:rFonts w:ascii="Calibri" w:eastAsia="Times New Roman" w:hAnsi="Calibri" w:cs="Calibri"/>
          <w:sz w:val="22"/>
          <w:szCs w:val="22"/>
        </w:rPr>
      </w:pPr>
      <w:r w:rsidRPr="00EE404C">
        <w:rPr>
          <w:rFonts w:ascii="Calibri" w:eastAsia="Times New Roman" w:hAnsi="Calibri" w:cs="Calibri"/>
          <w:b/>
          <w:sz w:val="22"/>
          <w:szCs w:val="22"/>
        </w:rPr>
        <w:br w:type="page"/>
      </w:r>
      <w:r w:rsidR="00AE6FF7" w:rsidRPr="00EE404C">
        <w:rPr>
          <w:rFonts w:ascii="Calibri" w:eastAsia="Times New Roman" w:hAnsi="Calibri" w:cs="Calibri"/>
          <w:b/>
          <w:sz w:val="22"/>
          <w:szCs w:val="22"/>
        </w:rPr>
        <w:lastRenderedPageBreak/>
        <w:t xml:space="preserve">[Para. 8-a-5] </w:t>
      </w:r>
      <w:r w:rsidR="00AE6FF7" w:rsidRPr="00EE404C">
        <w:rPr>
          <w:rFonts w:ascii="Calibri" w:eastAsia="Times New Roman" w:hAnsi="Calibri" w:cs="Calibri"/>
          <w:sz w:val="22"/>
          <w:szCs w:val="22"/>
        </w:rPr>
        <w:t>On November 30, the 9-month CD matured and interest was received.</w:t>
      </w:r>
    </w:p>
    <w:p w14:paraId="511A1916" w14:textId="337C4DC9" w:rsidR="00D05ED1" w:rsidRPr="00EE404C" w:rsidRDefault="00D05ED1" w:rsidP="00D46BD8">
      <w:pPr>
        <w:jc w:val="both"/>
        <w:rPr>
          <w:rFonts w:ascii="Calibri" w:eastAsia="Times New Roman" w:hAnsi="Calibri" w:cs="Calibri"/>
          <w:sz w:val="22"/>
          <w:szCs w:val="22"/>
        </w:rPr>
      </w:pPr>
    </w:p>
    <w:p w14:paraId="42C0DAC8" w14:textId="63226044" w:rsidR="00D05ED1" w:rsidRPr="00EE404C" w:rsidRDefault="00D05ED1" w:rsidP="00D46BD8">
      <w:pPr>
        <w:ind w:left="1170"/>
        <w:jc w:val="both"/>
        <w:rPr>
          <w:rFonts w:ascii="Calibri" w:eastAsia="Times New Roman" w:hAnsi="Calibri" w:cs="Calibri"/>
          <w:sz w:val="22"/>
          <w:szCs w:val="22"/>
        </w:rPr>
      </w:pPr>
      <w:r w:rsidRPr="00EE404C">
        <w:rPr>
          <w:rFonts w:ascii="Calibri" w:eastAsia="Times New Roman" w:hAnsi="Calibri" w:cs="Calibri"/>
          <w:sz w:val="22"/>
          <w:szCs w:val="22"/>
        </w:rPr>
        <w:t>Calculate interes</w:t>
      </w:r>
      <w:r w:rsidR="00690C9D" w:rsidRPr="00EE404C">
        <w:rPr>
          <w:rFonts w:ascii="Calibri" w:eastAsia="Times New Roman" w:hAnsi="Calibri" w:cs="Calibri"/>
          <w:sz w:val="22"/>
          <w:szCs w:val="22"/>
        </w:rPr>
        <w:t>t as simple interest using banker’s days</w:t>
      </w:r>
      <w:r w:rsidR="00A77746" w:rsidRPr="00EE404C">
        <w:rPr>
          <w:rFonts w:ascii="Calibri" w:eastAsia="Times New Roman" w:hAnsi="Calibri" w:cs="Calibri"/>
          <w:sz w:val="22"/>
          <w:szCs w:val="22"/>
        </w:rPr>
        <w:t xml:space="preserve"> (360 days)</w:t>
      </w:r>
      <w:r w:rsidR="00A912B9" w:rsidRPr="00EE404C">
        <w:rPr>
          <w:rFonts w:ascii="Calibri" w:eastAsia="Times New Roman" w:hAnsi="Calibri" w:cs="Calibri"/>
          <w:sz w:val="22"/>
          <w:szCs w:val="22"/>
        </w:rPr>
        <w:t>. Consider the CD to have been outstanding</w:t>
      </w:r>
      <w:r w:rsidR="00690C9D" w:rsidRPr="00EE404C">
        <w:rPr>
          <w:rFonts w:ascii="Calibri" w:eastAsia="Times New Roman" w:hAnsi="Calibri" w:cs="Calibri"/>
          <w:sz w:val="22"/>
          <w:szCs w:val="22"/>
        </w:rPr>
        <w:t xml:space="preserve"> for 270 days and round up. </w:t>
      </w:r>
    </w:p>
    <w:p w14:paraId="594C440A" w14:textId="227A7B5F" w:rsidR="00690C9D" w:rsidRPr="00EE404C" w:rsidRDefault="00690C9D" w:rsidP="00D46BD8">
      <w:pPr>
        <w:ind w:left="1170"/>
        <w:jc w:val="both"/>
        <w:rPr>
          <w:rFonts w:ascii="Calibri" w:eastAsia="Times New Roman" w:hAnsi="Calibri" w:cs="Calibri"/>
          <w:sz w:val="22"/>
          <w:szCs w:val="22"/>
        </w:rPr>
      </w:pPr>
    </w:p>
    <w:p w14:paraId="4FDBACB3" w14:textId="6ED47783" w:rsidR="00690C9D" w:rsidRPr="00EE404C" w:rsidRDefault="00690C9D" w:rsidP="00D46BD8">
      <w:pPr>
        <w:ind w:left="1170"/>
        <w:jc w:val="both"/>
        <w:rPr>
          <w:rFonts w:ascii="Calibri" w:eastAsia="Times New Roman" w:hAnsi="Calibri" w:cs="Calibri"/>
          <w:sz w:val="22"/>
          <w:szCs w:val="22"/>
        </w:rPr>
      </w:pPr>
      <w:r w:rsidRPr="00EE404C">
        <w:rPr>
          <w:rFonts w:ascii="Calibri" w:eastAsia="Times New Roman" w:hAnsi="Calibri" w:cs="Calibri"/>
          <w:sz w:val="22"/>
          <w:szCs w:val="22"/>
        </w:rPr>
        <w:t xml:space="preserve">Record the receipt of the CD principal and interest. The interest will be recorded as in account 2480 – Undistributed Earnings on Pooled Investments.  </w:t>
      </w:r>
    </w:p>
    <w:p w14:paraId="5EDBDA78" w14:textId="4CEC777D" w:rsidR="00125658" w:rsidRPr="00EE404C" w:rsidRDefault="003F7DB4" w:rsidP="00A77746">
      <w:pPr>
        <w:ind w:left="1170"/>
        <w:jc w:val="both"/>
        <w:rPr>
          <w:rFonts w:ascii="Calibri" w:eastAsia="Times New Roman" w:hAnsi="Calibri" w:cs="Calibri"/>
          <w:sz w:val="22"/>
          <w:szCs w:val="22"/>
        </w:rPr>
      </w:pPr>
      <w:r>
        <w:rPr>
          <w:rFonts w:ascii="Calibri" w:hAnsi="Calibri" w:cs="Calibri"/>
          <w:noProof/>
          <w:sz w:val="22"/>
          <w:szCs w:val="22"/>
          <w:lang w:eastAsia="en-US"/>
        </w:rPr>
        <w:drawing>
          <wp:inline distT="0" distB="0" distL="0" distR="0" wp14:anchorId="26944008" wp14:editId="6D0DFE94">
            <wp:extent cx="5486400" cy="438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438150"/>
                    </a:xfrm>
                    <a:prstGeom prst="rect">
                      <a:avLst/>
                    </a:prstGeom>
                    <a:noFill/>
                    <a:ln>
                      <a:noFill/>
                    </a:ln>
                  </pic:spPr>
                </pic:pic>
              </a:graphicData>
            </a:graphic>
          </wp:inline>
        </w:drawing>
      </w:r>
    </w:p>
    <w:p w14:paraId="3E2BE314" w14:textId="77777777" w:rsidR="00AE6FF7" w:rsidRPr="00EE404C" w:rsidRDefault="00AE6FF7" w:rsidP="00D46BD8">
      <w:pPr>
        <w:jc w:val="both"/>
        <w:rPr>
          <w:rFonts w:ascii="Calibri" w:eastAsia="Times New Roman" w:hAnsi="Calibri" w:cs="Calibri"/>
          <w:sz w:val="22"/>
          <w:szCs w:val="22"/>
        </w:rPr>
      </w:pPr>
    </w:p>
    <w:p w14:paraId="34B34BFC" w14:textId="43DBFF25" w:rsidR="00AE6FF7" w:rsidRPr="00EE404C" w:rsidRDefault="00AE6FF7" w:rsidP="00EA6E65">
      <w:pPr>
        <w:numPr>
          <w:ilvl w:val="1"/>
          <w:numId w:val="28"/>
        </w:numPr>
        <w:ind w:left="1170"/>
        <w:jc w:val="both"/>
        <w:rPr>
          <w:rFonts w:ascii="Calibri" w:eastAsia="Times New Roman" w:hAnsi="Calibri" w:cs="Calibri"/>
          <w:sz w:val="22"/>
          <w:szCs w:val="22"/>
        </w:rPr>
      </w:pPr>
      <w:r w:rsidRPr="00EE404C">
        <w:rPr>
          <w:rFonts w:ascii="Calibri" w:eastAsia="Times New Roman" w:hAnsi="Calibri" w:cs="Calibri"/>
          <w:b/>
          <w:sz w:val="22"/>
          <w:szCs w:val="22"/>
        </w:rPr>
        <w:t>[Para. 8-a-6]</w:t>
      </w:r>
      <w:r w:rsidRPr="00EE404C">
        <w:rPr>
          <w:rFonts w:ascii="Calibri" w:eastAsia="Times New Roman" w:hAnsi="Calibri" w:cs="Calibri"/>
          <w:sz w:val="22"/>
          <w:szCs w:val="22"/>
        </w:rPr>
        <w:t xml:space="preserve"> On December 31, interest was accrued on bond investments.</w:t>
      </w:r>
    </w:p>
    <w:p w14:paraId="69D802F5" w14:textId="099AD80D" w:rsidR="00125658" w:rsidRPr="00EE404C" w:rsidRDefault="00125658" w:rsidP="00D46BD8">
      <w:pPr>
        <w:ind w:left="720"/>
        <w:jc w:val="both"/>
        <w:rPr>
          <w:rFonts w:ascii="Calibri" w:eastAsia="Times New Roman" w:hAnsi="Calibri" w:cs="Calibri"/>
          <w:sz w:val="22"/>
          <w:szCs w:val="22"/>
        </w:rPr>
      </w:pPr>
    </w:p>
    <w:p w14:paraId="145F2FBC" w14:textId="5B2A735D" w:rsidR="00125658" w:rsidRPr="00EE404C" w:rsidRDefault="00125658" w:rsidP="00D46BD8">
      <w:pPr>
        <w:ind w:left="1170"/>
        <w:jc w:val="both"/>
        <w:rPr>
          <w:rFonts w:ascii="Calibri" w:eastAsia="Times New Roman" w:hAnsi="Calibri" w:cs="Calibri"/>
          <w:sz w:val="22"/>
          <w:szCs w:val="22"/>
        </w:rPr>
      </w:pPr>
      <w:r w:rsidRPr="00EE404C">
        <w:rPr>
          <w:rFonts w:ascii="Calibri" w:eastAsia="Times New Roman" w:hAnsi="Calibri" w:cs="Calibri"/>
          <w:sz w:val="22"/>
          <w:szCs w:val="22"/>
        </w:rPr>
        <w:t>The bonds will not pay interest until January 1; therefore, the fund will accrue for the January payments</w:t>
      </w:r>
      <w:r w:rsidR="00044156" w:rsidRPr="00EE404C">
        <w:rPr>
          <w:rFonts w:ascii="Calibri" w:eastAsia="Times New Roman" w:hAnsi="Calibri" w:cs="Calibri"/>
          <w:sz w:val="22"/>
          <w:szCs w:val="22"/>
        </w:rPr>
        <w:t xml:space="preserve"> to the fund</w:t>
      </w:r>
      <w:r w:rsidRPr="00EE404C">
        <w:rPr>
          <w:rFonts w:ascii="Calibri" w:eastAsia="Times New Roman" w:hAnsi="Calibri" w:cs="Calibri"/>
          <w:sz w:val="22"/>
          <w:szCs w:val="22"/>
        </w:rPr>
        <w:t xml:space="preserve"> as an adjusting journal entry on December 31.</w:t>
      </w:r>
    </w:p>
    <w:p w14:paraId="28F3F8E0" w14:textId="05A84DED" w:rsidR="00125658" w:rsidRPr="00EE404C" w:rsidRDefault="00125658" w:rsidP="00D46BD8">
      <w:pPr>
        <w:ind w:left="1170"/>
        <w:jc w:val="both"/>
        <w:rPr>
          <w:rFonts w:ascii="Calibri" w:eastAsia="Times New Roman" w:hAnsi="Calibri" w:cs="Calibri"/>
          <w:sz w:val="22"/>
          <w:szCs w:val="22"/>
        </w:rPr>
      </w:pPr>
    </w:p>
    <w:p w14:paraId="6F8907B0" w14:textId="77777777" w:rsidR="009F5CFC" w:rsidRPr="00EE404C" w:rsidRDefault="00125658" w:rsidP="00D46BD8">
      <w:pPr>
        <w:ind w:left="1170"/>
        <w:jc w:val="both"/>
        <w:rPr>
          <w:rFonts w:ascii="Calibri" w:eastAsia="Times New Roman" w:hAnsi="Calibri" w:cs="Calibri"/>
          <w:sz w:val="22"/>
          <w:szCs w:val="22"/>
        </w:rPr>
      </w:pPr>
      <w:r w:rsidRPr="00EE404C">
        <w:rPr>
          <w:rFonts w:ascii="Calibri" w:eastAsia="Times New Roman" w:hAnsi="Calibri" w:cs="Calibri"/>
          <w:sz w:val="22"/>
          <w:szCs w:val="22"/>
        </w:rPr>
        <w:t xml:space="preserve">There are two bonds in the </w:t>
      </w:r>
      <w:r w:rsidR="009F5CFC" w:rsidRPr="00EE404C">
        <w:rPr>
          <w:rFonts w:ascii="Calibri" w:eastAsia="Times New Roman" w:hAnsi="Calibri" w:cs="Calibri"/>
          <w:sz w:val="22"/>
          <w:szCs w:val="22"/>
        </w:rPr>
        <w:t xml:space="preserve">fund which </w:t>
      </w:r>
      <w:r w:rsidR="009F5CFC" w:rsidRPr="00EE404C">
        <w:rPr>
          <w:rFonts w:ascii="Calibri" w:eastAsia="Times New Roman" w:hAnsi="Calibri" w:cs="Calibri"/>
          <w:b/>
          <w:sz w:val="22"/>
          <w:szCs w:val="22"/>
        </w:rPr>
        <w:t>pay interest twice a year</w:t>
      </w:r>
      <w:r w:rsidR="009F5CFC" w:rsidRPr="00EE404C">
        <w:rPr>
          <w:rFonts w:ascii="Calibri" w:eastAsia="Times New Roman" w:hAnsi="Calibri" w:cs="Calibri"/>
          <w:sz w:val="22"/>
          <w:szCs w:val="22"/>
        </w:rPr>
        <w:t xml:space="preserve">. </w:t>
      </w:r>
    </w:p>
    <w:p w14:paraId="4C17EC94" w14:textId="56394E98" w:rsidR="00125658" w:rsidRPr="00EE404C" w:rsidRDefault="009F5CFC" w:rsidP="00D46BD8">
      <w:pPr>
        <w:ind w:left="1170"/>
        <w:jc w:val="both"/>
        <w:rPr>
          <w:rFonts w:ascii="Calibri" w:eastAsia="Times New Roman" w:hAnsi="Calibri" w:cs="Calibri"/>
          <w:sz w:val="22"/>
          <w:szCs w:val="22"/>
        </w:rPr>
      </w:pPr>
      <w:r w:rsidRPr="00EE404C">
        <w:rPr>
          <w:rFonts w:ascii="Calibri" w:eastAsia="Times New Roman" w:hAnsi="Calibri" w:cs="Calibri"/>
          <w:sz w:val="22"/>
          <w:szCs w:val="22"/>
        </w:rPr>
        <w:t xml:space="preserve"> </w:t>
      </w:r>
    </w:p>
    <w:p w14:paraId="1E514443" w14:textId="2926D763" w:rsidR="00125658" w:rsidRPr="00EE404C" w:rsidRDefault="0025108B" w:rsidP="00D46BD8">
      <w:pPr>
        <w:ind w:left="1170"/>
        <w:jc w:val="both"/>
        <w:rPr>
          <w:rFonts w:ascii="Calibri" w:eastAsia="Times New Roman" w:hAnsi="Calibri" w:cs="Calibri"/>
          <w:sz w:val="22"/>
          <w:szCs w:val="22"/>
        </w:rPr>
      </w:pPr>
      <w:r w:rsidRPr="00EE404C">
        <w:rPr>
          <w:rFonts w:ascii="Calibri" w:eastAsia="Times New Roman" w:hAnsi="Calibri" w:cs="Calibri"/>
          <w:sz w:val="22"/>
          <w:szCs w:val="22"/>
        </w:rPr>
        <w:t>T</w:t>
      </w:r>
      <w:r w:rsidR="00125658" w:rsidRPr="00EE404C">
        <w:rPr>
          <w:rFonts w:ascii="Calibri" w:eastAsia="Times New Roman" w:hAnsi="Calibri" w:cs="Calibri"/>
          <w:sz w:val="22"/>
          <w:szCs w:val="22"/>
        </w:rPr>
        <w:t>he Bingham</w:t>
      </w:r>
      <w:r w:rsidR="009F5CFC" w:rsidRPr="00EE404C">
        <w:rPr>
          <w:rFonts w:ascii="Calibri" w:eastAsia="Times New Roman" w:hAnsi="Calibri" w:cs="Calibri"/>
          <w:sz w:val="22"/>
          <w:szCs w:val="22"/>
        </w:rPr>
        <w:t xml:space="preserve"> CSD bond with</w:t>
      </w:r>
      <w:r w:rsidR="00125658" w:rsidRPr="00EE404C">
        <w:rPr>
          <w:rFonts w:ascii="Calibri" w:eastAsia="Times New Roman" w:hAnsi="Calibri" w:cs="Calibri"/>
          <w:sz w:val="22"/>
          <w:szCs w:val="22"/>
        </w:rPr>
        <w:t xml:space="preserve"> a book value of $620,000 </w:t>
      </w:r>
      <w:r w:rsidR="009F5CFC" w:rsidRPr="00EE404C">
        <w:rPr>
          <w:rFonts w:ascii="Calibri" w:eastAsia="Times New Roman" w:hAnsi="Calibri" w:cs="Calibri"/>
          <w:sz w:val="22"/>
          <w:szCs w:val="22"/>
        </w:rPr>
        <w:t xml:space="preserve">which receives </w:t>
      </w:r>
      <w:r w:rsidR="00125658" w:rsidRPr="00EE404C">
        <w:rPr>
          <w:rFonts w:ascii="Calibri" w:eastAsia="Times New Roman" w:hAnsi="Calibri" w:cs="Calibri"/>
          <w:sz w:val="22"/>
          <w:szCs w:val="22"/>
        </w:rPr>
        <w:t>interest of 3</w:t>
      </w:r>
      <w:r w:rsidR="009F5CFC" w:rsidRPr="00EE404C">
        <w:rPr>
          <w:rFonts w:ascii="Calibri" w:eastAsia="Times New Roman" w:hAnsi="Calibri" w:cs="Calibri"/>
          <w:sz w:val="22"/>
          <w:szCs w:val="22"/>
        </w:rPr>
        <w:t xml:space="preserve"> percent per annum</w:t>
      </w:r>
      <w:r w:rsidR="00125658" w:rsidRPr="00EE404C">
        <w:rPr>
          <w:rFonts w:ascii="Calibri" w:eastAsia="Times New Roman" w:hAnsi="Calibri" w:cs="Calibri"/>
          <w:sz w:val="22"/>
          <w:szCs w:val="22"/>
        </w:rPr>
        <w:t xml:space="preserve">.  </w:t>
      </w:r>
    </w:p>
    <w:p w14:paraId="44D7E480" w14:textId="02A1F311" w:rsidR="00125658" w:rsidRPr="00EE404C" w:rsidRDefault="00125658" w:rsidP="00D46BD8">
      <w:pPr>
        <w:ind w:left="1170"/>
        <w:jc w:val="both"/>
        <w:rPr>
          <w:rFonts w:ascii="Calibri" w:eastAsia="Times New Roman" w:hAnsi="Calibri" w:cs="Calibri"/>
          <w:sz w:val="22"/>
          <w:szCs w:val="22"/>
        </w:rPr>
      </w:pPr>
    </w:p>
    <w:p w14:paraId="19F67F29" w14:textId="1E697AC6" w:rsidR="0025108B" w:rsidRPr="00EE404C" w:rsidRDefault="0025108B" w:rsidP="00D46BD8">
      <w:pPr>
        <w:ind w:left="1170"/>
        <w:jc w:val="both"/>
        <w:rPr>
          <w:rFonts w:ascii="Calibri" w:eastAsia="Times New Roman" w:hAnsi="Calibri" w:cs="Calibri"/>
          <w:sz w:val="22"/>
          <w:szCs w:val="22"/>
        </w:rPr>
      </w:pPr>
      <w:r w:rsidRPr="00EE404C">
        <w:rPr>
          <w:rFonts w:ascii="Calibri" w:eastAsia="Times New Roman" w:hAnsi="Calibri" w:cs="Calibri"/>
          <w:sz w:val="22"/>
          <w:szCs w:val="22"/>
        </w:rPr>
        <w:t>The Investmen</w:t>
      </w:r>
      <w:r w:rsidR="009F5CFC" w:rsidRPr="00EE404C">
        <w:rPr>
          <w:rFonts w:ascii="Calibri" w:eastAsia="Times New Roman" w:hAnsi="Calibri" w:cs="Calibri"/>
          <w:sz w:val="22"/>
          <w:szCs w:val="22"/>
        </w:rPr>
        <w:t>t Pool Fund manager purchase</w:t>
      </w:r>
      <w:r w:rsidR="00D739CE" w:rsidRPr="00EE404C">
        <w:rPr>
          <w:rFonts w:ascii="Calibri" w:eastAsia="Times New Roman" w:hAnsi="Calibri" w:cs="Calibri"/>
          <w:sz w:val="22"/>
          <w:szCs w:val="22"/>
        </w:rPr>
        <w:t xml:space="preserve">d a </w:t>
      </w:r>
      <w:r w:rsidRPr="00EE404C">
        <w:rPr>
          <w:rFonts w:ascii="Calibri" w:eastAsia="Times New Roman" w:hAnsi="Calibri" w:cs="Calibri"/>
          <w:sz w:val="22"/>
          <w:szCs w:val="22"/>
        </w:rPr>
        <w:t>4.5 per</w:t>
      </w:r>
      <w:r w:rsidR="009F5CFC" w:rsidRPr="00EE404C">
        <w:rPr>
          <w:rFonts w:ascii="Calibri" w:eastAsia="Times New Roman" w:hAnsi="Calibri" w:cs="Calibri"/>
          <w:sz w:val="22"/>
          <w:szCs w:val="22"/>
        </w:rPr>
        <w:t xml:space="preserve">cent bond </w:t>
      </w:r>
      <w:r w:rsidRPr="00EE404C">
        <w:rPr>
          <w:rFonts w:ascii="Calibri" w:eastAsia="Times New Roman" w:hAnsi="Calibri" w:cs="Calibri"/>
          <w:sz w:val="22"/>
          <w:szCs w:val="22"/>
        </w:rPr>
        <w:t>in the amount of $200,000</w:t>
      </w:r>
      <w:r w:rsidR="009F5CFC" w:rsidRPr="00EE404C">
        <w:rPr>
          <w:rFonts w:ascii="Calibri" w:eastAsia="Times New Roman" w:hAnsi="Calibri" w:cs="Calibri"/>
          <w:sz w:val="22"/>
          <w:szCs w:val="22"/>
        </w:rPr>
        <w:t xml:space="preserve">. </w:t>
      </w:r>
    </w:p>
    <w:p w14:paraId="04DEDE78" w14:textId="0911E3A5" w:rsidR="00125658" w:rsidRPr="00EE404C" w:rsidRDefault="00125658" w:rsidP="00D46BD8">
      <w:pPr>
        <w:ind w:left="1170"/>
        <w:jc w:val="both"/>
        <w:rPr>
          <w:rFonts w:ascii="Calibri" w:eastAsia="Times New Roman" w:hAnsi="Calibri" w:cs="Calibri"/>
          <w:b/>
          <w:sz w:val="22"/>
          <w:szCs w:val="22"/>
        </w:rPr>
      </w:pPr>
    </w:p>
    <w:p w14:paraId="0E56DFC6" w14:textId="62AB36C6" w:rsidR="00044156" w:rsidRPr="00EE404C" w:rsidRDefault="00187B2F" w:rsidP="00D46BD8">
      <w:pPr>
        <w:ind w:left="1170"/>
        <w:jc w:val="both"/>
        <w:rPr>
          <w:rFonts w:ascii="Calibri" w:eastAsia="Times New Roman" w:hAnsi="Calibri" w:cs="Calibri"/>
          <w:sz w:val="22"/>
          <w:szCs w:val="22"/>
        </w:rPr>
      </w:pPr>
      <w:r w:rsidRPr="00EE404C">
        <w:rPr>
          <w:rFonts w:ascii="Calibri" w:eastAsia="Times New Roman" w:hAnsi="Calibri" w:cs="Calibri"/>
          <w:sz w:val="22"/>
          <w:szCs w:val="22"/>
        </w:rPr>
        <w:t>Only t</w:t>
      </w:r>
      <w:r w:rsidR="00044156" w:rsidRPr="00EE404C">
        <w:rPr>
          <w:rFonts w:ascii="Calibri" w:eastAsia="Times New Roman" w:hAnsi="Calibri" w:cs="Calibri"/>
          <w:sz w:val="22"/>
          <w:szCs w:val="22"/>
        </w:rPr>
        <w:t xml:space="preserve">he accounts, Interest Receivable on Investments and Undistributed Earnings on Pooled Investments, would be affected by this transaction.  </w:t>
      </w:r>
    </w:p>
    <w:p w14:paraId="53424CA3" w14:textId="364CAD0C" w:rsidR="009F5CFC" w:rsidRPr="00EE404C" w:rsidRDefault="003F7DB4" w:rsidP="00D46BD8">
      <w:pPr>
        <w:ind w:left="1170"/>
        <w:jc w:val="both"/>
        <w:rPr>
          <w:rFonts w:ascii="Calibri" w:eastAsia="Times New Roman" w:hAnsi="Calibri" w:cs="Calibri"/>
          <w:b/>
          <w:sz w:val="22"/>
          <w:szCs w:val="22"/>
        </w:rPr>
      </w:pPr>
      <w:r>
        <w:rPr>
          <w:rFonts w:ascii="Calibri" w:hAnsi="Calibri" w:cs="Calibri"/>
          <w:noProof/>
          <w:sz w:val="22"/>
          <w:szCs w:val="22"/>
          <w:lang w:eastAsia="en-US"/>
        </w:rPr>
        <w:drawing>
          <wp:inline distT="0" distB="0" distL="0" distR="0" wp14:anchorId="0D25054A" wp14:editId="4708C3CF">
            <wp:extent cx="5486400" cy="295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295275"/>
                    </a:xfrm>
                    <a:prstGeom prst="rect">
                      <a:avLst/>
                    </a:prstGeom>
                    <a:noFill/>
                    <a:ln>
                      <a:noFill/>
                    </a:ln>
                  </pic:spPr>
                </pic:pic>
              </a:graphicData>
            </a:graphic>
          </wp:inline>
        </w:drawing>
      </w:r>
    </w:p>
    <w:p w14:paraId="5D76D498" w14:textId="77777777" w:rsidR="00AE6FF7" w:rsidRPr="00EE404C" w:rsidRDefault="00AE6FF7" w:rsidP="00D46BD8">
      <w:pPr>
        <w:jc w:val="both"/>
        <w:rPr>
          <w:rFonts w:ascii="Calibri" w:eastAsia="Times New Roman" w:hAnsi="Calibri" w:cs="Calibri"/>
          <w:sz w:val="22"/>
          <w:szCs w:val="22"/>
        </w:rPr>
      </w:pPr>
    </w:p>
    <w:p w14:paraId="32C6A116" w14:textId="1CB2D8FE" w:rsidR="00AE6FF7" w:rsidRPr="00EE404C" w:rsidRDefault="00AE6FF7" w:rsidP="00EA6E65">
      <w:pPr>
        <w:numPr>
          <w:ilvl w:val="1"/>
          <w:numId w:val="28"/>
        </w:numPr>
        <w:ind w:left="1170"/>
        <w:jc w:val="both"/>
        <w:rPr>
          <w:rFonts w:ascii="Calibri" w:eastAsia="Times New Roman" w:hAnsi="Calibri" w:cs="Calibri"/>
          <w:sz w:val="22"/>
          <w:szCs w:val="22"/>
        </w:rPr>
      </w:pPr>
      <w:r w:rsidRPr="00EE404C">
        <w:rPr>
          <w:rFonts w:ascii="Calibri" w:eastAsia="Times New Roman" w:hAnsi="Calibri" w:cs="Calibri"/>
          <w:b/>
          <w:sz w:val="22"/>
          <w:szCs w:val="22"/>
        </w:rPr>
        <w:t>[Para. 8-a-7]</w:t>
      </w:r>
      <w:r w:rsidRPr="00EE404C">
        <w:rPr>
          <w:rFonts w:ascii="Calibri" w:eastAsia="Times New Roman" w:hAnsi="Calibri" w:cs="Calibri"/>
          <w:sz w:val="22"/>
          <w:szCs w:val="22"/>
        </w:rPr>
        <w:t>. On December 31, the fair value of investments in bonds</w:t>
      </w:r>
      <w:r w:rsidR="00044156" w:rsidRPr="00EE404C">
        <w:rPr>
          <w:rFonts w:ascii="Calibri" w:eastAsia="Times New Roman" w:hAnsi="Calibri" w:cs="Calibri"/>
          <w:sz w:val="22"/>
          <w:szCs w:val="22"/>
        </w:rPr>
        <w:t xml:space="preserve"> recorded in the general ledger of $822,00</w:t>
      </w:r>
      <w:r w:rsidRPr="00EE404C">
        <w:rPr>
          <w:rFonts w:ascii="Calibri" w:eastAsia="Times New Roman" w:hAnsi="Calibri" w:cs="Calibri"/>
          <w:sz w:val="22"/>
          <w:szCs w:val="22"/>
        </w:rPr>
        <w:t xml:space="preserve"> was </w:t>
      </w:r>
      <w:r w:rsidR="00044156" w:rsidRPr="00EE404C">
        <w:rPr>
          <w:rFonts w:ascii="Calibri" w:eastAsia="Times New Roman" w:hAnsi="Calibri" w:cs="Calibri"/>
          <w:sz w:val="22"/>
          <w:szCs w:val="22"/>
        </w:rPr>
        <w:t xml:space="preserve">found to be </w:t>
      </w:r>
      <w:r w:rsidRPr="00EE404C">
        <w:rPr>
          <w:rFonts w:ascii="Calibri" w:eastAsia="Times New Roman" w:hAnsi="Calibri" w:cs="Calibri"/>
          <w:sz w:val="22"/>
          <w:szCs w:val="22"/>
        </w:rPr>
        <w:t>$</w:t>
      </w:r>
      <w:r w:rsidR="00270F13" w:rsidRPr="00EE404C">
        <w:rPr>
          <w:rFonts w:ascii="Calibri" w:eastAsia="Times New Roman" w:hAnsi="Calibri" w:cs="Calibri"/>
          <w:sz w:val="22"/>
          <w:szCs w:val="22"/>
        </w:rPr>
        <w:t>826</w:t>
      </w:r>
      <w:r w:rsidRPr="00EE404C">
        <w:rPr>
          <w:rFonts w:ascii="Calibri" w:eastAsia="Times New Roman" w:hAnsi="Calibri" w:cs="Calibri"/>
          <w:sz w:val="22"/>
          <w:szCs w:val="22"/>
        </w:rPr>
        <w:t>,000</w:t>
      </w:r>
      <w:r w:rsidR="00044156" w:rsidRPr="00EE404C">
        <w:rPr>
          <w:rFonts w:ascii="Calibri" w:eastAsia="Times New Roman" w:hAnsi="Calibri" w:cs="Calibri"/>
          <w:sz w:val="22"/>
          <w:szCs w:val="22"/>
        </w:rPr>
        <w:t xml:space="preserve"> at year end</w:t>
      </w:r>
      <w:r w:rsidRPr="00EE404C">
        <w:rPr>
          <w:rFonts w:ascii="Calibri" w:eastAsia="Times New Roman" w:hAnsi="Calibri" w:cs="Calibri"/>
          <w:sz w:val="22"/>
          <w:szCs w:val="22"/>
        </w:rPr>
        <w:t xml:space="preserve">. </w:t>
      </w:r>
      <w:r w:rsidR="00044156" w:rsidRPr="00EE404C">
        <w:rPr>
          <w:rFonts w:ascii="Calibri" w:eastAsia="Times New Roman" w:hAnsi="Calibri" w:cs="Calibri"/>
          <w:sz w:val="22"/>
          <w:szCs w:val="22"/>
        </w:rPr>
        <w:t>The fund will reco</w:t>
      </w:r>
      <w:r w:rsidR="00B5762C" w:rsidRPr="00EE404C">
        <w:rPr>
          <w:rFonts w:ascii="Calibri" w:eastAsia="Times New Roman" w:hAnsi="Calibri" w:cs="Calibri"/>
          <w:sz w:val="22"/>
          <w:szCs w:val="22"/>
        </w:rPr>
        <w:t xml:space="preserve">gnize the change in fair value. </w:t>
      </w:r>
      <w:r w:rsidRPr="00EE404C">
        <w:rPr>
          <w:rFonts w:ascii="Calibri" w:eastAsia="Times New Roman" w:hAnsi="Calibri" w:cs="Calibri"/>
          <w:sz w:val="22"/>
          <w:szCs w:val="22"/>
        </w:rPr>
        <w:t xml:space="preserve">Credit Undistributed Change in Fair Value of Investments </w:t>
      </w:r>
      <w:r w:rsidR="00B5762C" w:rsidRPr="00EE404C">
        <w:rPr>
          <w:rFonts w:ascii="Calibri" w:eastAsia="Times New Roman" w:hAnsi="Calibri" w:cs="Calibri"/>
          <w:sz w:val="22"/>
          <w:szCs w:val="22"/>
        </w:rPr>
        <w:t xml:space="preserve">for the increase in fair value.  </w:t>
      </w:r>
      <w:r w:rsidR="00044156" w:rsidRPr="00EE404C">
        <w:rPr>
          <w:rFonts w:ascii="Calibri" w:eastAsia="Times New Roman" w:hAnsi="Calibri" w:cs="Calibri"/>
          <w:sz w:val="22"/>
          <w:szCs w:val="22"/>
        </w:rPr>
        <w:t xml:space="preserve">The other account affected would be </w:t>
      </w:r>
      <w:r w:rsidR="003338FA" w:rsidRPr="00EE404C">
        <w:rPr>
          <w:rFonts w:ascii="Calibri" w:eastAsia="Times New Roman" w:hAnsi="Calibri" w:cs="Calibri"/>
          <w:sz w:val="22"/>
          <w:szCs w:val="22"/>
        </w:rPr>
        <w:t xml:space="preserve">1071 – Investments in Bonds. </w:t>
      </w:r>
    </w:p>
    <w:p w14:paraId="3A4C43F6" w14:textId="7E067DCD" w:rsidR="00187B2F" w:rsidRPr="00EE404C" w:rsidRDefault="003F7DB4" w:rsidP="00B5762C">
      <w:pPr>
        <w:ind w:left="810"/>
        <w:jc w:val="both"/>
        <w:rPr>
          <w:rFonts w:ascii="Calibri" w:eastAsia="Times New Roman" w:hAnsi="Calibri" w:cs="Calibri"/>
          <w:sz w:val="22"/>
          <w:szCs w:val="22"/>
        </w:rPr>
      </w:pPr>
      <w:r>
        <w:rPr>
          <w:rFonts w:ascii="Calibri" w:hAnsi="Calibri" w:cs="Calibri"/>
          <w:noProof/>
          <w:sz w:val="22"/>
          <w:szCs w:val="22"/>
          <w:lang w:eastAsia="en-US"/>
        </w:rPr>
        <w:drawing>
          <wp:inline distT="0" distB="0" distL="0" distR="0" wp14:anchorId="6381DBCE" wp14:editId="3C8CBB9E">
            <wp:extent cx="5467350" cy="30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7350" cy="304800"/>
                    </a:xfrm>
                    <a:prstGeom prst="rect">
                      <a:avLst/>
                    </a:prstGeom>
                    <a:noFill/>
                    <a:ln>
                      <a:noFill/>
                    </a:ln>
                  </pic:spPr>
                </pic:pic>
              </a:graphicData>
            </a:graphic>
          </wp:inline>
        </w:drawing>
      </w:r>
    </w:p>
    <w:p w14:paraId="091EA8FB" w14:textId="77777777" w:rsidR="00AE6FF7" w:rsidRPr="00EE404C" w:rsidRDefault="00AE6FF7" w:rsidP="00D46BD8">
      <w:pPr>
        <w:jc w:val="both"/>
        <w:rPr>
          <w:rFonts w:ascii="Calibri" w:eastAsia="Times New Roman" w:hAnsi="Calibri" w:cs="Calibri"/>
          <w:sz w:val="22"/>
          <w:szCs w:val="22"/>
        </w:rPr>
      </w:pPr>
    </w:p>
    <w:p w14:paraId="3092EC24" w14:textId="0ABB2FBB" w:rsidR="004707D2" w:rsidRPr="00EE404C" w:rsidRDefault="00AE6FF7" w:rsidP="00EA6E65">
      <w:pPr>
        <w:numPr>
          <w:ilvl w:val="1"/>
          <w:numId w:val="28"/>
        </w:numPr>
        <w:ind w:left="1170"/>
        <w:jc w:val="both"/>
        <w:rPr>
          <w:rFonts w:ascii="Calibri" w:eastAsia="Times New Roman" w:hAnsi="Calibri" w:cs="Calibri"/>
          <w:sz w:val="22"/>
          <w:szCs w:val="22"/>
        </w:rPr>
      </w:pPr>
      <w:r w:rsidRPr="00EE404C">
        <w:rPr>
          <w:rFonts w:ascii="Calibri" w:eastAsia="Times New Roman" w:hAnsi="Calibri" w:cs="Calibri"/>
          <w:b/>
          <w:sz w:val="22"/>
          <w:szCs w:val="22"/>
        </w:rPr>
        <w:t>[Para</w:t>
      </w:r>
      <w:r w:rsidRPr="00EE404C">
        <w:rPr>
          <w:rFonts w:ascii="Calibri" w:eastAsia="Times New Roman" w:hAnsi="Calibri" w:cs="Calibri"/>
          <w:sz w:val="22"/>
          <w:szCs w:val="22"/>
        </w:rPr>
        <w:t xml:space="preserve">. </w:t>
      </w:r>
      <w:r w:rsidRPr="00EE404C">
        <w:rPr>
          <w:rFonts w:ascii="Calibri" w:eastAsia="Times New Roman" w:hAnsi="Calibri" w:cs="Calibri"/>
          <w:b/>
          <w:sz w:val="22"/>
          <w:szCs w:val="22"/>
        </w:rPr>
        <w:t>8-a-8]</w:t>
      </w:r>
      <w:r w:rsidRPr="00EE404C">
        <w:rPr>
          <w:rFonts w:ascii="Calibri" w:eastAsia="Times New Roman" w:hAnsi="Calibri" w:cs="Calibri"/>
          <w:sz w:val="22"/>
          <w:szCs w:val="22"/>
        </w:rPr>
        <w:t xml:space="preserve">. On December 31, the proportionate equities of the city’s debt service fund and the Bingham CSD were calculated and investment earnings and changes in fair value of investments were distributed accordingly.  </w:t>
      </w:r>
      <w:r w:rsidR="0001357D" w:rsidRPr="00EE404C">
        <w:rPr>
          <w:rFonts w:ascii="Calibri" w:eastAsia="Times New Roman" w:hAnsi="Calibri" w:cs="Calibri"/>
          <w:sz w:val="22"/>
          <w:szCs w:val="22"/>
        </w:rPr>
        <w:t>The Journal entry is</w:t>
      </w:r>
    </w:p>
    <w:p w14:paraId="744DCB58" w14:textId="77777777" w:rsidR="0001357D" w:rsidRPr="00EE404C" w:rsidRDefault="0001357D" w:rsidP="00D46BD8">
      <w:pPr>
        <w:pStyle w:val="ListParagraph"/>
        <w:jc w:val="both"/>
        <w:rPr>
          <w:rFonts w:ascii="Calibri" w:eastAsia="Times New Roman" w:hAnsi="Calibri" w:cs="Calibri"/>
          <w:sz w:val="22"/>
          <w:szCs w:val="22"/>
        </w:rPr>
      </w:pPr>
    </w:p>
    <w:p w14:paraId="51499EDF" w14:textId="2A950E56" w:rsidR="004707D2" w:rsidRPr="00EE404C" w:rsidRDefault="003F7DB4" w:rsidP="00D46BD8">
      <w:pPr>
        <w:ind w:left="1170"/>
        <w:jc w:val="both"/>
        <w:rPr>
          <w:rFonts w:ascii="Calibri" w:eastAsia="Times New Roman" w:hAnsi="Calibri" w:cs="Calibri"/>
          <w:sz w:val="22"/>
          <w:szCs w:val="22"/>
        </w:rPr>
      </w:pPr>
      <w:r>
        <w:rPr>
          <w:noProof/>
          <w:lang w:eastAsia="en-US"/>
        </w:rPr>
        <w:drawing>
          <wp:inline distT="0" distB="0" distL="0" distR="0" wp14:anchorId="5B0F4AC6" wp14:editId="0889D3F5">
            <wp:extent cx="5486400" cy="723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723900"/>
                    </a:xfrm>
                    <a:prstGeom prst="rect">
                      <a:avLst/>
                    </a:prstGeom>
                    <a:noFill/>
                    <a:ln>
                      <a:noFill/>
                    </a:ln>
                  </pic:spPr>
                </pic:pic>
              </a:graphicData>
            </a:graphic>
          </wp:inline>
        </w:drawing>
      </w:r>
    </w:p>
    <w:p w14:paraId="7189E0A8" w14:textId="15F70797" w:rsidR="00726A09" w:rsidRPr="00EE404C" w:rsidRDefault="00726A09" w:rsidP="00D46BD8">
      <w:pPr>
        <w:jc w:val="both"/>
        <w:rPr>
          <w:rFonts w:ascii="Calibri" w:eastAsia="Times New Roman" w:hAnsi="Calibri" w:cs="Calibri"/>
          <w:b/>
          <w:sz w:val="22"/>
          <w:szCs w:val="22"/>
        </w:rPr>
      </w:pPr>
      <w:r w:rsidRPr="00EE404C">
        <w:rPr>
          <w:rFonts w:ascii="Calibri" w:eastAsia="Times New Roman" w:hAnsi="Calibri" w:cs="Calibri"/>
          <w:b/>
          <w:sz w:val="22"/>
          <w:szCs w:val="22"/>
        </w:rPr>
        <w:t>NOTE TO ME: Changed from author’s solution because of error in 8-a-4</w:t>
      </w:r>
    </w:p>
    <w:p w14:paraId="40EAD631" w14:textId="54DBECFE" w:rsidR="00726A09" w:rsidRPr="00EE404C" w:rsidRDefault="00726A09" w:rsidP="00D46BD8">
      <w:pPr>
        <w:jc w:val="both"/>
        <w:rPr>
          <w:rFonts w:ascii="Calibri" w:eastAsia="Times New Roman" w:hAnsi="Calibri" w:cs="Calibri"/>
          <w:sz w:val="22"/>
          <w:szCs w:val="22"/>
        </w:rPr>
      </w:pPr>
    </w:p>
    <w:p w14:paraId="141FA943" w14:textId="77777777" w:rsidR="00726A09" w:rsidRPr="00EE404C" w:rsidRDefault="00726A09" w:rsidP="00D46BD8">
      <w:pPr>
        <w:jc w:val="both"/>
        <w:rPr>
          <w:rFonts w:ascii="Calibri" w:eastAsia="Times New Roman" w:hAnsi="Calibri" w:cs="Calibri"/>
          <w:sz w:val="22"/>
          <w:szCs w:val="22"/>
        </w:rPr>
      </w:pPr>
    </w:p>
    <w:p w14:paraId="3141D18D" w14:textId="608CE09D" w:rsidR="0001357D" w:rsidRPr="00EE404C" w:rsidRDefault="0033409A" w:rsidP="00EA6E65">
      <w:pPr>
        <w:numPr>
          <w:ilvl w:val="1"/>
          <w:numId w:val="28"/>
        </w:numPr>
        <w:ind w:left="1170"/>
        <w:jc w:val="both"/>
        <w:rPr>
          <w:rFonts w:ascii="Calibri" w:eastAsia="Times New Roman" w:hAnsi="Calibri" w:cs="Calibri"/>
          <w:sz w:val="22"/>
          <w:szCs w:val="22"/>
        </w:rPr>
      </w:pPr>
      <w:r w:rsidRPr="00EE404C">
        <w:rPr>
          <w:rFonts w:ascii="Calibri" w:eastAsia="Times New Roman" w:hAnsi="Calibri" w:cs="Calibri"/>
          <w:b/>
          <w:sz w:val="22"/>
          <w:szCs w:val="22"/>
        </w:rPr>
        <w:br w:type="page"/>
      </w:r>
      <w:r w:rsidR="00AE6FF7" w:rsidRPr="00EE404C">
        <w:rPr>
          <w:rFonts w:ascii="Calibri" w:eastAsia="Times New Roman" w:hAnsi="Calibri" w:cs="Calibri"/>
          <w:b/>
          <w:sz w:val="22"/>
          <w:szCs w:val="22"/>
        </w:rPr>
        <w:lastRenderedPageBreak/>
        <w:t>[Para</w:t>
      </w:r>
      <w:r w:rsidR="00AE6FF7" w:rsidRPr="00EE404C">
        <w:rPr>
          <w:rFonts w:ascii="Calibri" w:eastAsia="Times New Roman" w:hAnsi="Calibri" w:cs="Calibri"/>
          <w:sz w:val="22"/>
          <w:szCs w:val="22"/>
        </w:rPr>
        <w:t xml:space="preserve">. </w:t>
      </w:r>
      <w:r w:rsidR="00AE6FF7" w:rsidRPr="00EE404C">
        <w:rPr>
          <w:rFonts w:ascii="Calibri" w:eastAsia="Times New Roman" w:hAnsi="Calibri" w:cs="Calibri"/>
          <w:b/>
          <w:sz w:val="22"/>
          <w:szCs w:val="22"/>
        </w:rPr>
        <w:t xml:space="preserve">8-a-9]. </w:t>
      </w:r>
      <w:r w:rsidR="00AE6FF7" w:rsidRPr="00EE404C">
        <w:rPr>
          <w:rFonts w:ascii="Calibri" w:eastAsia="Times New Roman" w:hAnsi="Calibri" w:cs="Calibri"/>
          <w:sz w:val="22"/>
          <w:szCs w:val="22"/>
        </w:rPr>
        <w:t xml:space="preserve">Subsequent to the distribution of earnings and changes in fair value, the Bingham CSD withdrew </w:t>
      </w:r>
      <w:r w:rsidR="00270F13" w:rsidRPr="00EE404C">
        <w:rPr>
          <w:rFonts w:ascii="Calibri" w:eastAsia="Times New Roman" w:hAnsi="Calibri" w:cs="Calibri"/>
          <w:sz w:val="22"/>
          <w:szCs w:val="22"/>
        </w:rPr>
        <w:t>$2</w:t>
      </w:r>
      <w:r w:rsidR="00AE6FF7" w:rsidRPr="00EE404C">
        <w:rPr>
          <w:rFonts w:ascii="Calibri" w:eastAsia="Times New Roman" w:hAnsi="Calibri" w:cs="Calibri"/>
          <w:sz w:val="22"/>
          <w:szCs w:val="22"/>
        </w:rPr>
        <w:t>00,000 to meet certain obligations coming due.  To provide the cash needed for the withdrawal, the Investment Pool Fund manager sold</w:t>
      </w:r>
      <w:r w:rsidR="00270F13" w:rsidRPr="00EE404C">
        <w:rPr>
          <w:rFonts w:ascii="Calibri" w:eastAsia="Times New Roman" w:hAnsi="Calibri" w:cs="Calibri"/>
          <w:sz w:val="22"/>
          <w:szCs w:val="22"/>
        </w:rPr>
        <w:t xml:space="preserve"> the</w:t>
      </w:r>
      <w:r w:rsidR="00AE6FF7" w:rsidRPr="00EE404C">
        <w:rPr>
          <w:rFonts w:ascii="Calibri" w:eastAsia="Times New Roman" w:hAnsi="Calibri" w:cs="Calibri"/>
          <w:sz w:val="22"/>
          <w:szCs w:val="22"/>
        </w:rPr>
        <w:t xml:space="preserve"> </w:t>
      </w:r>
      <w:r w:rsidR="00270F13" w:rsidRPr="00EE404C">
        <w:rPr>
          <w:rFonts w:ascii="Calibri" w:eastAsia="Times New Roman" w:hAnsi="Calibri" w:cs="Calibri"/>
          <w:sz w:val="22"/>
          <w:szCs w:val="22"/>
        </w:rPr>
        <w:t>4.</w:t>
      </w:r>
      <w:r w:rsidR="00AE6FF7" w:rsidRPr="00EE404C">
        <w:rPr>
          <w:rFonts w:ascii="Calibri" w:eastAsia="Times New Roman" w:hAnsi="Calibri" w:cs="Calibri"/>
          <w:sz w:val="22"/>
          <w:szCs w:val="22"/>
        </w:rPr>
        <w:t>5 percent bonds on December 31</w:t>
      </w:r>
      <w:r w:rsidR="000E3AD9" w:rsidRPr="00EE404C">
        <w:rPr>
          <w:rFonts w:ascii="Calibri" w:eastAsia="Times New Roman" w:hAnsi="Calibri" w:cs="Calibri"/>
          <w:sz w:val="22"/>
          <w:szCs w:val="22"/>
        </w:rPr>
        <w:t xml:space="preserve"> for $200</w:t>
      </w:r>
      <w:r w:rsidR="00270F13" w:rsidRPr="00EE404C">
        <w:rPr>
          <w:rFonts w:ascii="Calibri" w:eastAsia="Times New Roman" w:hAnsi="Calibri" w:cs="Calibri"/>
          <w:sz w:val="22"/>
          <w:szCs w:val="22"/>
        </w:rPr>
        <w:t>,000, plus interest of</w:t>
      </w:r>
      <w:r w:rsidR="000E3AD9" w:rsidRPr="00EE404C">
        <w:rPr>
          <w:rFonts w:ascii="Calibri" w:eastAsia="Times New Roman" w:hAnsi="Calibri" w:cs="Calibri"/>
          <w:sz w:val="22"/>
          <w:szCs w:val="22"/>
        </w:rPr>
        <w:t xml:space="preserve"> $4,500, receiving in total $204</w:t>
      </w:r>
      <w:r w:rsidR="0001357D" w:rsidRPr="00EE404C">
        <w:rPr>
          <w:rFonts w:ascii="Calibri" w:eastAsia="Times New Roman" w:hAnsi="Calibri" w:cs="Calibri"/>
          <w:sz w:val="22"/>
          <w:szCs w:val="22"/>
        </w:rPr>
        <w:t xml:space="preserve">,500 from the sale.  </w:t>
      </w:r>
    </w:p>
    <w:p w14:paraId="3115C7B9" w14:textId="30B1D4EA" w:rsidR="0001357D" w:rsidRPr="00EE404C" w:rsidRDefault="00AE6FF7" w:rsidP="00D46BD8">
      <w:pPr>
        <w:jc w:val="both"/>
        <w:rPr>
          <w:rFonts w:ascii="Calibri" w:eastAsia="Times New Roman" w:hAnsi="Calibri" w:cs="Calibri"/>
          <w:sz w:val="22"/>
          <w:szCs w:val="22"/>
        </w:rPr>
      </w:pPr>
      <w:r w:rsidRPr="00EE404C">
        <w:rPr>
          <w:rFonts w:ascii="Calibri" w:eastAsia="Times New Roman" w:hAnsi="Calibri" w:cs="Calibri"/>
          <w:sz w:val="22"/>
          <w:szCs w:val="22"/>
        </w:rPr>
        <w:t xml:space="preserve"> </w:t>
      </w:r>
    </w:p>
    <w:p w14:paraId="4C9BF26B" w14:textId="1B60A68E" w:rsidR="0001357D" w:rsidRPr="00EE404C" w:rsidRDefault="0001357D" w:rsidP="00D46BD8">
      <w:pPr>
        <w:ind w:left="1170"/>
        <w:jc w:val="both"/>
        <w:rPr>
          <w:rFonts w:ascii="Calibri" w:eastAsia="Times New Roman" w:hAnsi="Calibri" w:cs="Calibri"/>
          <w:sz w:val="22"/>
          <w:szCs w:val="22"/>
        </w:rPr>
      </w:pPr>
      <w:r w:rsidRPr="00EE404C">
        <w:rPr>
          <w:rFonts w:ascii="Calibri" w:eastAsia="Times New Roman" w:hAnsi="Calibri" w:cs="Calibri"/>
          <w:sz w:val="22"/>
          <w:szCs w:val="22"/>
        </w:rPr>
        <w:t>Record the sale of the bonds first. Recognize the cash received, the reductio</w:t>
      </w:r>
      <w:r w:rsidR="00B5762C" w:rsidRPr="00EE404C">
        <w:rPr>
          <w:rFonts w:ascii="Calibri" w:eastAsia="Times New Roman" w:hAnsi="Calibri" w:cs="Calibri"/>
          <w:sz w:val="22"/>
          <w:szCs w:val="22"/>
        </w:rPr>
        <w:t>n in bond investments and</w:t>
      </w:r>
      <w:r w:rsidRPr="00EE404C">
        <w:rPr>
          <w:rFonts w:ascii="Calibri" w:eastAsia="Times New Roman" w:hAnsi="Calibri" w:cs="Calibri"/>
          <w:sz w:val="22"/>
          <w:szCs w:val="22"/>
        </w:rPr>
        <w:t xml:space="preserve"> Interest Receivable on Investments</w:t>
      </w:r>
      <w:r w:rsidR="00B5762C" w:rsidRPr="00EE404C">
        <w:rPr>
          <w:rFonts w:ascii="Calibri" w:eastAsia="Times New Roman" w:hAnsi="Calibri" w:cs="Calibri"/>
          <w:sz w:val="22"/>
          <w:szCs w:val="22"/>
        </w:rPr>
        <w:t xml:space="preserve"> will be affected based on the </w:t>
      </w:r>
      <w:r w:rsidRPr="00EE404C">
        <w:rPr>
          <w:rFonts w:ascii="Calibri" w:eastAsia="Times New Roman" w:hAnsi="Calibri" w:cs="Calibri"/>
          <w:sz w:val="22"/>
          <w:szCs w:val="22"/>
        </w:rPr>
        <w:t>interest received.</w:t>
      </w:r>
    </w:p>
    <w:p w14:paraId="4D154EE4" w14:textId="791B8FAE" w:rsidR="00B5762C" w:rsidRPr="00EE404C" w:rsidRDefault="00B5762C" w:rsidP="00D46BD8">
      <w:pPr>
        <w:ind w:left="1170"/>
        <w:jc w:val="both"/>
        <w:rPr>
          <w:rFonts w:ascii="Calibri" w:eastAsia="Times New Roman" w:hAnsi="Calibri" w:cs="Calibri"/>
          <w:sz w:val="22"/>
          <w:szCs w:val="22"/>
        </w:rPr>
      </w:pPr>
    </w:p>
    <w:p w14:paraId="31640EE2" w14:textId="6F3C1049" w:rsidR="00B5762C" w:rsidRPr="00EE404C" w:rsidRDefault="003F7DB4" w:rsidP="00D46BD8">
      <w:pPr>
        <w:ind w:left="1170"/>
        <w:jc w:val="both"/>
        <w:rPr>
          <w:rFonts w:ascii="Calibri" w:eastAsia="Times New Roman" w:hAnsi="Calibri" w:cs="Calibri"/>
          <w:sz w:val="22"/>
          <w:szCs w:val="22"/>
        </w:rPr>
      </w:pPr>
      <w:r>
        <w:rPr>
          <w:rFonts w:ascii="Calibri" w:hAnsi="Calibri" w:cs="Calibri"/>
          <w:noProof/>
          <w:sz w:val="22"/>
          <w:szCs w:val="22"/>
          <w:lang w:eastAsia="en-US"/>
        </w:rPr>
        <w:drawing>
          <wp:inline distT="0" distB="0" distL="0" distR="0" wp14:anchorId="2EACE3C7" wp14:editId="6A9B9F53">
            <wp:extent cx="5486400" cy="714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714375"/>
                    </a:xfrm>
                    <a:prstGeom prst="rect">
                      <a:avLst/>
                    </a:prstGeom>
                    <a:noFill/>
                    <a:ln>
                      <a:noFill/>
                    </a:ln>
                  </pic:spPr>
                </pic:pic>
              </a:graphicData>
            </a:graphic>
          </wp:inline>
        </w:drawing>
      </w:r>
    </w:p>
    <w:p w14:paraId="528B5B4A" w14:textId="16C0BADC" w:rsidR="0001357D" w:rsidRPr="00EE404C" w:rsidRDefault="0001357D" w:rsidP="00D46BD8">
      <w:pPr>
        <w:ind w:left="1170"/>
        <w:jc w:val="both"/>
        <w:rPr>
          <w:rFonts w:ascii="Calibri" w:eastAsia="Times New Roman" w:hAnsi="Calibri" w:cs="Calibri"/>
          <w:sz w:val="22"/>
          <w:szCs w:val="22"/>
        </w:rPr>
      </w:pPr>
    </w:p>
    <w:p w14:paraId="7ACD42CA" w14:textId="70907D98" w:rsidR="0033409A" w:rsidRPr="00EE404C" w:rsidRDefault="0001357D" w:rsidP="0033409A">
      <w:pPr>
        <w:ind w:left="1170"/>
        <w:jc w:val="both"/>
        <w:rPr>
          <w:rFonts w:ascii="Calibri" w:eastAsia="Times New Roman" w:hAnsi="Calibri" w:cs="Calibri"/>
          <w:sz w:val="22"/>
          <w:szCs w:val="22"/>
        </w:rPr>
      </w:pPr>
      <w:r w:rsidRPr="00EE404C">
        <w:rPr>
          <w:rFonts w:ascii="Calibri" w:eastAsia="Times New Roman" w:hAnsi="Calibri" w:cs="Calibri"/>
          <w:sz w:val="22"/>
          <w:szCs w:val="22"/>
        </w:rPr>
        <w:t xml:space="preserve">Then, recognize the withdrawal of cash by the CSD and debit Account 6695 Deductions – Withdrawals by Depositors. </w:t>
      </w:r>
    </w:p>
    <w:p w14:paraId="722F330A" w14:textId="77777777" w:rsidR="0033409A" w:rsidRPr="00EE404C" w:rsidRDefault="0033409A" w:rsidP="0033409A">
      <w:pPr>
        <w:ind w:left="1170"/>
        <w:jc w:val="both"/>
        <w:rPr>
          <w:rFonts w:ascii="Calibri" w:eastAsia="Times New Roman" w:hAnsi="Calibri" w:cs="Calibri"/>
          <w:sz w:val="22"/>
          <w:szCs w:val="22"/>
        </w:rPr>
      </w:pPr>
    </w:p>
    <w:p w14:paraId="11373712" w14:textId="528524AD" w:rsidR="003F744D" w:rsidRPr="00EE404C" w:rsidRDefault="003F744D" w:rsidP="00EA6E65">
      <w:pPr>
        <w:numPr>
          <w:ilvl w:val="0"/>
          <w:numId w:val="28"/>
        </w:numPr>
        <w:jc w:val="both"/>
        <w:rPr>
          <w:rFonts w:ascii="Calibri" w:eastAsia="Times New Roman" w:hAnsi="Calibri" w:cs="Calibri"/>
          <w:sz w:val="22"/>
          <w:szCs w:val="22"/>
        </w:rPr>
      </w:pPr>
      <w:r w:rsidRPr="00EE404C">
        <w:rPr>
          <w:rFonts w:ascii="Calibri" w:eastAsia="Times New Roman" w:hAnsi="Calibri" w:cs="Calibri"/>
          <w:sz w:val="22"/>
          <w:szCs w:val="22"/>
        </w:rPr>
        <w:t>P</w:t>
      </w:r>
      <w:r w:rsidR="00AE6FF7" w:rsidRPr="00EE404C">
        <w:rPr>
          <w:rFonts w:ascii="Calibri" w:eastAsia="Times New Roman" w:hAnsi="Calibri" w:cs="Calibri"/>
          <w:sz w:val="22"/>
          <w:szCs w:val="22"/>
        </w:rPr>
        <w:t xml:space="preserve">repare entries to close the temporary accounts.  Be sure and click on the check mark for </w:t>
      </w:r>
      <w:r w:rsidR="00AE6FF7" w:rsidRPr="00EE404C">
        <w:rPr>
          <w:rFonts w:ascii="Calibri" w:eastAsia="Times New Roman" w:hAnsi="Calibri" w:cs="Calibri"/>
          <w:b/>
          <w:sz w:val="22"/>
          <w:szCs w:val="22"/>
        </w:rPr>
        <w:t xml:space="preserve">[Closing Entries] </w:t>
      </w:r>
      <w:r w:rsidR="00AE6FF7" w:rsidRPr="00EE404C">
        <w:rPr>
          <w:rFonts w:ascii="Calibri" w:eastAsia="Times New Roman" w:hAnsi="Calibri" w:cs="Calibri"/>
          <w:sz w:val="22"/>
          <w:szCs w:val="22"/>
        </w:rPr>
        <w:t xml:space="preserve">and check that “Closing Entry” appears in the </w:t>
      </w:r>
      <w:r w:rsidR="00AE6FF7" w:rsidRPr="00EE404C">
        <w:rPr>
          <w:rFonts w:ascii="Calibri" w:eastAsia="Times New Roman" w:hAnsi="Calibri" w:cs="Calibri"/>
          <w:b/>
          <w:sz w:val="22"/>
          <w:szCs w:val="22"/>
        </w:rPr>
        <w:t>[Transaction Description]</w:t>
      </w:r>
      <w:r w:rsidR="00AE6FF7" w:rsidRPr="00EE404C">
        <w:rPr>
          <w:rFonts w:ascii="Calibri" w:eastAsia="Times New Roman" w:hAnsi="Calibri" w:cs="Calibri"/>
          <w:sz w:val="22"/>
          <w:szCs w:val="22"/>
        </w:rPr>
        <w:t xml:space="preserve"> box for each account closed.</w:t>
      </w:r>
    </w:p>
    <w:p w14:paraId="74E9046F" w14:textId="342597EA" w:rsidR="004F4BDF" w:rsidRPr="00EE404C" w:rsidRDefault="004F4BDF" w:rsidP="004F4BDF">
      <w:pPr>
        <w:ind w:left="1170"/>
        <w:jc w:val="both"/>
        <w:rPr>
          <w:rFonts w:ascii="Calibri" w:eastAsia="Times New Roman" w:hAnsi="Calibri" w:cs="Calibri"/>
          <w:sz w:val="22"/>
          <w:szCs w:val="22"/>
        </w:rPr>
      </w:pPr>
    </w:p>
    <w:p w14:paraId="2141BA4F" w14:textId="763ECCA1" w:rsidR="004F4BDF" w:rsidRPr="00EE404C" w:rsidRDefault="004F4BDF" w:rsidP="004F4BDF">
      <w:pPr>
        <w:ind w:left="1170"/>
        <w:jc w:val="both"/>
        <w:rPr>
          <w:rFonts w:ascii="Calibri" w:eastAsia="Times New Roman" w:hAnsi="Calibri" w:cs="Calibri"/>
          <w:sz w:val="22"/>
          <w:szCs w:val="22"/>
        </w:rPr>
      </w:pPr>
      <w:r w:rsidRPr="00EE404C">
        <w:rPr>
          <w:rFonts w:ascii="Calibri" w:eastAsia="Times New Roman" w:hAnsi="Calibri" w:cs="Calibri"/>
          <w:sz w:val="22"/>
          <w:szCs w:val="22"/>
        </w:rPr>
        <w:t xml:space="preserve">Run a pre-closing trial balance to see where these amounts are coming from. </w:t>
      </w:r>
      <w:r w:rsidR="00D4193B" w:rsidRPr="00EE404C">
        <w:rPr>
          <w:rFonts w:ascii="Calibri" w:eastAsia="Times New Roman" w:hAnsi="Calibri" w:cs="Calibri"/>
          <w:sz w:val="22"/>
          <w:szCs w:val="22"/>
        </w:rPr>
        <w:t>The difference between the additions and deductions are recorded to Net Position Held in Trust for Depositors.</w:t>
      </w:r>
    </w:p>
    <w:p w14:paraId="3F9707F8" w14:textId="5147011A" w:rsidR="003F744D" w:rsidRPr="00EE404C" w:rsidRDefault="003F744D" w:rsidP="00D46BD8">
      <w:pPr>
        <w:jc w:val="both"/>
        <w:rPr>
          <w:rFonts w:ascii="Calibri" w:eastAsia="Times New Roman" w:hAnsi="Calibri" w:cs="Calibri"/>
          <w:sz w:val="22"/>
          <w:szCs w:val="22"/>
        </w:rPr>
      </w:pPr>
    </w:p>
    <w:p w14:paraId="2C021E29" w14:textId="68FD0A70" w:rsidR="003F744D" w:rsidRPr="00EE404C" w:rsidRDefault="003F7DB4" w:rsidP="00D46BD8">
      <w:pPr>
        <w:jc w:val="both"/>
        <w:rPr>
          <w:rFonts w:ascii="Calibri" w:hAnsi="Calibri" w:cs="Calibri"/>
          <w:noProof/>
          <w:sz w:val="22"/>
          <w:szCs w:val="22"/>
          <w:lang w:eastAsia="en-US"/>
        </w:rPr>
      </w:pPr>
      <w:r>
        <w:rPr>
          <w:rFonts w:ascii="Calibri" w:hAnsi="Calibri" w:cs="Calibri"/>
          <w:noProof/>
          <w:sz w:val="22"/>
          <w:szCs w:val="22"/>
          <w:lang w:eastAsia="en-US"/>
        </w:rPr>
        <w:drawing>
          <wp:inline distT="0" distB="0" distL="0" distR="0" wp14:anchorId="7E53EE44" wp14:editId="04310E44">
            <wp:extent cx="5486400" cy="933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933450"/>
                    </a:xfrm>
                    <a:prstGeom prst="rect">
                      <a:avLst/>
                    </a:prstGeom>
                    <a:noFill/>
                    <a:ln>
                      <a:noFill/>
                    </a:ln>
                  </pic:spPr>
                </pic:pic>
              </a:graphicData>
            </a:graphic>
          </wp:inline>
        </w:drawing>
      </w:r>
    </w:p>
    <w:p w14:paraId="462B8227" w14:textId="03109ACA" w:rsidR="00F53603" w:rsidRPr="00EE404C" w:rsidRDefault="00F53603" w:rsidP="00D46BD8">
      <w:pPr>
        <w:jc w:val="both"/>
        <w:rPr>
          <w:rFonts w:ascii="Calibri" w:hAnsi="Calibri" w:cs="Calibri"/>
          <w:noProof/>
          <w:sz w:val="22"/>
          <w:szCs w:val="22"/>
          <w:lang w:eastAsia="en-US"/>
        </w:rPr>
      </w:pPr>
    </w:p>
    <w:p w14:paraId="42D28B22" w14:textId="4ED4753C" w:rsidR="00F53603" w:rsidRPr="00EE404C" w:rsidRDefault="00F53603" w:rsidP="00EA6E65">
      <w:pPr>
        <w:numPr>
          <w:ilvl w:val="0"/>
          <w:numId w:val="28"/>
        </w:numPr>
        <w:tabs>
          <w:tab w:val="left" w:pos="0"/>
        </w:tabs>
        <w:jc w:val="both"/>
        <w:rPr>
          <w:rFonts w:ascii="Calibri" w:hAnsi="Calibri" w:cs="Calibri"/>
          <w:b/>
          <w:sz w:val="22"/>
          <w:szCs w:val="22"/>
        </w:rPr>
      </w:pPr>
      <w:r w:rsidRPr="00EE404C">
        <w:rPr>
          <w:rFonts w:ascii="Calibri" w:hAnsi="Calibri" w:cs="Calibri"/>
          <w:b/>
          <w:sz w:val="22"/>
          <w:szCs w:val="22"/>
        </w:rPr>
        <w:t xml:space="preserve">Before closing the </w:t>
      </w:r>
      <w:r w:rsidRPr="00EE404C">
        <w:rPr>
          <w:rFonts w:ascii="Calibri" w:hAnsi="Calibri" w:cs="Calibri"/>
          <w:b/>
          <w:i/>
          <w:sz w:val="22"/>
          <w:szCs w:val="22"/>
        </w:rPr>
        <w:t>City of Bingham,</w:t>
      </w:r>
      <w:r w:rsidRPr="00EE404C">
        <w:rPr>
          <w:rFonts w:ascii="Calibri" w:hAnsi="Calibri" w:cs="Calibri"/>
          <w:b/>
          <w:sz w:val="22"/>
          <w:szCs w:val="22"/>
        </w:rPr>
        <w:t xml:space="preserve"> click on [File], and [Save/Save As] to save your work.  </w:t>
      </w:r>
      <w:r w:rsidRPr="00EE404C">
        <w:rPr>
          <w:rFonts w:ascii="Calibri" w:hAnsi="Calibri" w:cs="Calibri"/>
          <w:sz w:val="22"/>
          <w:szCs w:val="22"/>
        </w:rPr>
        <w:t>If you close the file by clicking on the [</w:t>
      </w:r>
      <w:r w:rsidRPr="00EE404C">
        <w:rPr>
          <w:rFonts w:ascii="Calibri" w:hAnsi="Calibri" w:cs="Calibri"/>
          <w:b/>
          <w:sz w:val="22"/>
          <w:szCs w:val="22"/>
        </w:rPr>
        <w:t>X</w:t>
      </w:r>
      <w:r w:rsidRPr="00EE404C">
        <w:rPr>
          <w:rFonts w:ascii="Calibri" w:hAnsi="Calibri" w:cs="Calibri"/>
          <w:sz w:val="22"/>
          <w:szCs w:val="22"/>
        </w:rPr>
        <w:t>] box you will be asked if you want to save your changes before closing.</w:t>
      </w:r>
    </w:p>
    <w:p w14:paraId="47A25E08" w14:textId="1DAF21AF" w:rsidR="00D65309" w:rsidRPr="00EE404C" w:rsidRDefault="00D65309" w:rsidP="00EA6E65">
      <w:pPr>
        <w:numPr>
          <w:ilvl w:val="0"/>
          <w:numId w:val="28"/>
        </w:numPr>
        <w:tabs>
          <w:tab w:val="left" w:pos="0"/>
        </w:tabs>
        <w:jc w:val="both"/>
        <w:rPr>
          <w:rFonts w:ascii="Calibri" w:hAnsi="Calibri" w:cs="Calibri"/>
          <w:b/>
          <w:sz w:val="22"/>
          <w:szCs w:val="22"/>
        </w:rPr>
      </w:pPr>
      <w:r w:rsidRPr="00EE404C">
        <w:rPr>
          <w:rFonts w:ascii="Calibri" w:hAnsi="Calibri" w:cs="Calibri"/>
          <w:b/>
          <w:sz w:val="22"/>
          <w:szCs w:val="22"/>
        </w:rPr>
        <w:t xml:space="preserve">Refer to documents to be graded to show your work. </w:t>
      </w:r>
    </w:p>
    <w:p w14:paraId="2F0EE58A" w14:textId="77777777" w:rsidR="00F53603" w:rsidRPr="00EE404C" w:rsidRDefault="00F53603" w:rsidP="00D46BD8">
      <w:pPr>
        <w:jc w:val="both"/>
        <w:rPr>
          <w:rFonts w:ascii="Calibri" w:eastAsia="Times New Roman" w:hAnsi="Calibri" w:cs="Calibri"/>
          <w:sz w:val="22"/>
          <w:szCs w:val="22"/>
        </w:rPr>
      </w:pPr>
    </w:p>
    <w:p w14:paraId="79BE72A0" w14:textId="74D1CA9B" w:rsidR="00AE6FF7" w:rsidRPr="00EE404C" w:rsidRDefault="00AE6FF7" w:rsidP="00D46BD8">
      <w:pPr>
        <w:ind w:left="360"/>
        <w:jc w:val="both"/>
        <w:rPr>
          <w:rFonts w:ascii="Calibri" w:eastAsia="Times New Roman" w:hAnsi="Calibri" w:cs="Calibri"/>
          <w:sz w:val="22"/>
          <w:szCs w:val="22"/>
        </w:rPr>
      </w:pPr>
      <w:r w:rsidRPr="00EE404C">
        <w:rPr>
          <w:rFonts w:ascii="Calibri" w:eastAsia="Times New Roman" w:hAnsi="Calibri" w:cs="Calibri"/>
          <w:sz w:val="22"/>
          <w:szCs w:val="22"/>
        </w:rPr>
        <w:t xml:space="preserve"> </w:t>
      </w:r>
    </w:p>
    <w:p w14:paraId="7D659235" w14:textId="31E688A6" w:rsidR="00AE6FF7" w:rsidRPr="00EE404C" w:rsidRDefault="00AE6FF7" w:rsidP="00EA6E65">
      <w:pPr>
        <w:jc w:val="both"/>
        <w:rPr>
          <w:rFonts w:ascii="Calibri" w:eastAsia="Times New Roman" w:hAnsi="Calibri" w:cs="Calibri"/>
          <w:sz w:val="22"/>
          <w:szCs w:val="22"/>
        </w:rPr>
      </w:pPr>
    </w:p>
    <w:p w14:paraId="3B4F4CC4" w14:textId="1E01EDAF" w:rsidR="00D46BD8" w:rsidRPr="00EE404C" w:rsidRDefault="00D46BD8" w:rsidP="00D46BD8">
      <w:pPr>
        <w:jc w:val="both"/>
        <w:rPr>
          <w:rFonts w:ascii="Calibri" w:hAnsi="Calibri" w:cs="Calibri"/>
          <w:noProof/>
          <w:sz w:val="22"/>
          <w:szCs w:val="22"/>
          <w:lang w:eastAsia="en-US"/>
        </w:rPr>
      </w:pPr>
    </w:p>
    <w:p w14:paraId="4F6CD734" w14:textId="589D0097" w:rsidR="003F744D" w:rsidRPr="00EE404C" w:rsidRDefault="003F744D" w:rsidP="00D46BD8">
      <w:pPr>
        <w:jc w:val="both"/>
        <w:rPr>
          <w:rFonts w:ascii="Calibri" w:hAnsi="Calibri" w:cs="Calibri"/>
          <w:noProof/>
          <w:sz w:val="22"/>
          <w:szCs w:val="22"/>
          <w:lang w:eastAsia="en-US"/>
        </w:rPr>
      </w:pPr>
    </w:p>
    <w:p w14:paraId="6C3EE636" w14:textId="17ADF030" w:rsidR="00D46BD8" w:rsidRPr="00EE404C" w:rsidRDefault="00D46BD8" w:rsidP="00D46BD8">
      <w:pPr>
        <w:jc w:val="both"/>
        <w:rPr>
          <w:rFonts w:ascii="Calibri" w:hAnsi="Calibri" w:cs="Calibri"/>
          <w:noProof/>
          <w:sz w:val="22"/>
          <w:szCs w:val="22"/>
          <w:lang w:eastAsia="en-US"/>
        </w:rPr>
      </w:pPr>
    </w:p>
    <w:p w14:paraId="4159352F" w14:textId="77777777" w:rsidR="00F24C6E" w:rsidRDefault="00F24C6E" w:rsidP="00D46BD8">
      <w:pPr>
        <w:jc w:val="both"/>
        <w:rPr>
          <w:noProof/>
          <w:lang w:eastAsia="en-US"/>
        </w:rPr>
      </w:pPr>
    </w:p>
    <w:p w14:paraId="06E4136B" w14:textId="2658D550" w:rsidR="00D46BD8" w:rsidRDefault="003F7DB4" w:rsidP="00D46BD8">
      <w:pPr>
        <w:jc w:val="both"/>
        <w:rPr>
          <w:noProof/>
          <w:lang w:eastAsia="en-US"/>
        </w:rPr>
      </w:pPr>
      <w:r>
        <w:rPr>
          <w:noProof/>
          <w:lang w:eastAsia="en-US"/>
        </w:rPr>
        <w:lastRenderedPageBreak/>
        <w:drawing>
          <wp:inline distT="0" distB="0" distL="0" distR="0" wp14:anchorId="369F3DB8" wp14:editId="11EC03C2">
            <wp:extent cx="5486400" cy="2276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2276475"/>
                    </a:xfrm>
                    <a:prstGeom prst="rect">
                      <a:avLst/>
                    </a:prstGeom>
                    <a:noFill/>
                    <a:ln>
                      <a:noFill/>
                    </a:ln>
                  </pic:spPr>
                </pic:pic>
              </a:graphicData>
            </a:graphic>
          </wp:inline>
        </w:drawing>
      </w:r>
    </w:p>
    <w:p w14:paraId="308A1E4F" w14:textId="2CE2A90B" w:rsidR="00F24C6E" w:rsidRDefault="00F24C6E" w:rsidP="00D46BD8">
      <w:pPr>
        <w:jc w:val="both"/>
        <w:rPr>
          <w:noProof/>
          <w:lang w:eastAsia="en-US"/>
        </w:rPr>
      </w:pPr>
    </w:p>
    <w:p w14:paraId="0E7BDF72" w14:textId="19271F58" w:rsidR="00F24C6E" w:rsidRPr="00EE404C" w:rsidRDefault="003F7DB4" w:rsidP="00D46BD8">
      <w:pPr>
        <w:jc w:val="both"/>
        <w:rPr>
          <w:rFonts w:ascii="Calibri" w:hAnsi="Calibri" w:cs="Calibri"/>
          <w:noProof/>
          <w:sz w:val="22"/>
          <w:szCs w:val="22"/>
          <w:lang w:eastAsia="en-US"/>
        </w:rPr>
      </w:pPr>
      <w:r>
        <w:rPr>
          <w:noProof/>
          <w:lang w:eastAsia="en-US"/>
        </w:rPr>
        <w:drawing>
          <wp:inline distT="0" distB="0" distL="0" distR="0" wp14:anchorId="23355DBD" wp14:editId="20D4A769">
            <wp:extent cx="5495925" cy="20288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95925" cy="2028825"/>
                    </a:xfrm>
                    <a:prstGeom prst="rect">
                      <a:avLst/>
                    </a:prstGeom>
                    <a:noFill/>
                    <a:ln>
                      <a:noFill/>
                    </a:ln>
                  </pic:spPr>
                </pic:pic>
              </a:graphicData>
            </a:graphic>
          </wp:inline>
        </w:drawing>
      </w:r>
    </w:p>
    <w:p w14:paraId="286D1FDB" w14:textId="24CC238F" w:rsidR="00985F8F" w:rsidRPr="00EE404C" w:rsidRDefault="00985F8F" w:rsidP="00D46BD8">
      <w:pPr>
        <w:jc w:val="both"/>
        <w:rPr>
          <w:rFonts w:ascii="Calibri" w:hAnsi="Calibri" w:cs="Calibri"/>
          <w:noProof/>
          <w:sz w:val="22"/>
          <w:szCs w:val="22"/>
          <w:lang w:eastAsia="en-US"/>
        </w:rPr>
      </w:pPr>
    </w:p>
    <w:p w14:paraId="467CE0F7" w14:textId="6F0BC920" w:rsidR="00985F8F" w:rsidRPr="00EE404C" w:rsidRDefault="00985F8F" w:rsidP="00D46BD8">
      <w:pPr>
        <w:jc w:val="both"/>
        <w:rPr>
          <w:rFonts w:ascii="Calibri" w:hAnsi="Calibri" w:cs="Calibri"/>
          <w:noProof/>
          <w:sz w:val="22"/>
          <w:szCs w:val="22"/>
          <w:lang w:eastAsia="en-US"/>
        </w:rPr>
      </w:pPr>
    </w:p>
    <w:p w14:paraId="1302D8B4" w14:textId="2FCE55BA" w:rsidR="00985F8F" w:rsidRPr="00EE404C" w:rsidRDefault="00985F8F" w:rsidP="00FD5697">
      <w:pPr>
        <w:jc w:val="both"/>
        <w:rPr>
          <w:rFonts w:ascii="Calibri" w:eastAsia="Times New Roman" w:hAnsi="Calibri" w:cs="Calibri"/>
          <w:b/>
          <w:bCs/>
          <w:sz w:val="22"/>
          <w:szCs w:val="22"/>
          <w:lang w:eastAsia="en-US"/>
        </w:rPr>
      </w:pPr>
      <w:r w:rsidRPr="00EE404C">
        <w:rPr>
          <w:rFonts w:ascii="Calibri" w:eastAsia="Times New Roman" w:hAnsi="Calibri" w:cs="Calibri"/>
          <w:b/>
          <w:bCs/>
          <w:color w:val="00ADEE"/>
          <w:sz w:val="22"/>
          <w:szCs w:val="22"/>
          <w:lang w:eastAsia="en-US"/>
        </w:rPr>
        <w:br w:type="page"/>
      </w:r>
      <w:r w:rsidRPr="00EE404C">
        <w:rPr>
          <w:rFonts w:ascii="Calibri" w:eastAsia="Times New Roman" w:hAnsi="Calibri" w:cs="Calibri"/>
          <w:b/>
          <w:bCs/>
          <w:sz w:val="22"/>
          <w:szCs w:val="22"/>
          <w:lang w:eastAsia="en-US"/>
        </w:rPr>
        <w:lastRenderedPageBreak/>
        <w:t>PRIVATE-PURPOSE TRUST FUNDS</w:t>
      </w:r>
    </w:p>
    <w:p w14:paraId="19BB8283" w14:textId="77777777" w:rsidR="00985F8F" w:rsidRPr="00EE404C" w:rsidRDefault="00985F8F" w:rsidP="00FD5697">
      <w:pPr>
        <w:jc w:val="both"/>
        <w:rPr>
          <w:rFonts w:ascii="Calibri" w:eastAsia="Times New Roman" w:hAnsi="Calibri" w:cs="Calibri"/>
          <w:sz w:val="22"/>
          <w:szCs w:val="22"/>
          <w:lang w:eastAsia="en-US"/>
        </w:rPr>
      </w:pPr>
    </w:p>
    <w:p w14:paraId="086C6546" w14:textId="77777777" w:rsidR="00985F8F" w:rsidRPr="00EE404C" w:rsidRDefault="00985F8F" w:rsidP="00FD5697">
      <w:pPr>
        <w:spacing w:line="255" w:lineRule="atLeast"/>
        <w:jc w:val="both"/>
        <w:rPr>
          <w:rFonts w:ascii="Calibri" w:eastAsia="Times New Roman" w:hAnsi="Calibri" w:cs="Calibri"/>
          <w:color w:val="333333"/>
          <w:sz w:val="22"/>
          <w:szCs w:val="22"/>
          <w:lang w:eastAsia="en-US"/>
        </w:rPr>
      </w:pPr>
      <w:r w:rsidRPr="00EE404C">
        <w:rPr>
          <w:rFonts w:ascii="Calibri" w:eastAsia="Times New Roman" w:hAnsi="Calibri" w:cs="Calibri"/>
          <w:color w:val="333333"/>
          <w:sz w:val="22"/>
          <w:szCs w:val="22"/>
          <w:lang w:eastAsia="en-US"/>
        </w:rPr>
        <w:t>Individuals or organizations may establish trust agreements to confer assets (or management of the assets) to another party at the present time or at a future date. The fair value of assets placed in trust is referred to as the </w:t>
      </w:r>
      <w:r w:rsidRPr="00EE404C">
        <w:rPr>
          <w:rFonts w:ascii="Calibri" w:eastAsia="Times New Roman" w:hAnsi="Calibri" w:cs="Calibri"/>
          <w:i/>
          <w:iCs/>
          <w:color w:val="333333"/>
          <w:sz w:val="22"/>
          <w:szCs w:val="22"/>
          <w:lang w:eastAsia="en-US"/>
        </w:rPr>
        <w:t>principal</w:t>
      </w:r>
      <w:r w:rsidRPr="00EE404C">
        <w:rPr>
          <w:rFonts w:ascii="Calibri" w:eastAsia="Times New Roman" w:hAnsi="Calibri" w:cs="Calibri"/>
          <w:color w:val="333333"/>
          <w:sz w:val="22"/>
          <w:szCs w:val="22"/>
          <w:lang w:eastAsia="en-US"/>
        </w:rPr>
        <w:t> or </w:t>
      </w:r>
      <w:r w:rsidRPr="00EE404C">
        <w:rPr>
          <w:rFonts w:ascii="Calibri" w:eastAsia="Times New Roman" w:hAnsi="Calibri" w:cs="Calibri"/>
          <w:i/>
          <w:iCs/>
          <w:color w:val="333333"/>
          <w:sz w:val="22"/>
          <w:szCs w:val="22"/>
          <w:lang w:eastAsia="en-US"/>
        </w:rPr>
        <w:t>corpus</w:t>
      </w:r>
      <w:r w:rsidRPr="00EE404C">
        <w:rPr>
          <w:rFonts w:ascii="Calibri" w:eastAsia="Times New Roman" w:hAnsi="Calibri" w:cs="Calibri"/>
          <w:color w:val="333333"/>
          <w:sz w:val="22"/>
          <w:szCs w:val="22"/>
          <w:lang w:eastAsia="en-US"/>
        </w:rPr>
        <w:t> of the trust. If the principal of the trust must be held intact (nonexpendable) to produce income, the trust is often called an </w:t>
      </w:r>
      <w:r w:rsidRPr="00EE404C">
        <w:rPr>
          <w:rFonts w:ascii="Calibri" w:eastAsia="Times New Roman" w:hAnsi="Calibri" w:cs="Calibri"/>
          <w:i/>
          <w:iCs/>
          <w:color w:val="333333"/>
          <w:sz w:val="22"/>
          <w:szCs w:val="22"/>
          <w:lang w:eastAsia="en-US"/>
        </w:rPr>
        <w:t>endowment.</w:t>
      </w:r>
      <w:r w:rsidRPr="00EE404C">
        <w:rPr>
          <w:rFonts w:ascii="Calibri" w:eastAsia="Times New Roman" w:hAnsi="Calibri" w:cs="Calibri"/>
          <w:color w:val="333333"/>
          <w:sz w:val="22"/>
          <w:szCs w:val="22"/>
          <w:lang w:eastAsia="en-US"/>
        </w:rPr>
        <w:t> </w:t>
      </w:r>
    </w:p>
    <w:p w14:paraId="6D447392" w14:textId="77777777" w:rsidR="00985F8F" w:rsidRPr="00EE404C" w:rsidRDefault="00985F8F" w:rsidP="00FD5697">
      <w:pPr>
        <w:spacing w:line="255" w:lineRule="atLeast"/>
        <w:jc w:val="both"/>
        <w:rPr>
          <w:rFonts w:ascii="Calibri" w:eastAsia="Times New Roman" w:hAnsi="Calibri" w:cs="Calibri"/>
          <w:color w:val="333333"/>
          <w:sz w:val="22"/>
          <w:szCs w:val="22"/>
          <w:lang w:eastAsia="en-US"/>
        </w:rPr>
      </w:pPr>
    </w:p>
    <w:p w14:paraId="6F401A00" w14:textId="72B21CD2" w:rsidR="00985F8F" w:rsidRPr="00EE404C" w:rsidRDefault="00985F8F" w:rsidP="00FD5697">
      <w:pPr>
        <w:spacing w:line="255" w:lineRule="atLeast"/>
        <w:jc w:val="both"/>
        <w:rPr>
          <w:rFonts w:ascii="Calibri" w:eastAsia="Times New Roman" w:hAnsi="Calibri" w:cs="Calibri"/>
          <w:color w:val="333333"/>
          <w:sz w:val="22"/>
          <w:szCs w:val="22"/>
          <w:lang w:eastAsia="en-US"/>
        </w:rPr>
      </w:pPr>
      <w:r w:rsidRPr="00EE404C">
        <w:rPr>
          <w:rFonts w:ascii="Calibri" w:eastAsia="Times New Roman" w:hAnsi="Calibri" w:cs="Calibri"/>
          <w:color w:val="333333"/>
          <w:sz w:val="22"/>
          <w:szCs w:val="22"/>
          <w:lang w:eastAsia="en-US"/>
        </w:rPr>
        <w:t xml:space="preserve">The income from the assets of an endowment may be used only for the purposes specified by the trustor. Not all trusts require that the principal be held intact. Some trusts allow the principal to be spent (expended) for the purpose specified by the trust. Additionally, not all trusts make distinctions between the use of principal and income. </w:t>
      </w:r>
    </w:p>
    <w:p w14:paraId="3378BB82" w14:textId="77777777" w:rsidR="00985F8F" w:rsidRPr="00EE404C" w:rsidRDefault="00985F8F" w:rsidP="00FD5697">
      <w:pPr>
        <w:spacing w:line="255" w:lineRule="atLeast"/>
        <w:jc w:val="both"/>
        <w:rPr>
          <w:rFonts w:ascii="Calibri" w:eastAsia="Times New Roman" w:hAnsi="Calibri" w:cs="Calibri"/>
          <w:color w:val="333333"/>
          <w:sz w:val="22"/>
          <w:szCs w:val="22"/>
          <w:lang w:eastAsia="en-US"/>
        </w:rPr>
      </w:pPr>
    </w:p>
    <w:p w14:paraId="22DF3E12" w14:textId="77777777" w:rsidR="00985F8F" w:rsidRPr="00EE404C" w:rsidRDefault="00985F8F" w:rsidP="00FD5697">
      <w:pPr>
        <w:spacing w:line="255" w:lineRule="atLeast"/>
        <w:jc w:val="both"/>
        <w:rPr>
          <w:rFonts w:ascii="Calibri" w:eastAsia="Times New Roman" w:hAnsi="Calibri" w:cs="Calibri"/>
          <w:color w:val="333333"/>
          <w:sz w:val="22"/>
          <w:szCs w:val="22"/>
          <w:lang w:eastAsia="en-US"/>
        </w:rPr>
      </w:pPr>
      <w:r w:rsidRPr="00EE404C">
        <w:rPr>
          <w:rFonts w:ascii="Calibri" w:eastAsia="Times New Roman" w:hAnsi="Calibri" w:cs="Calibri"/>
          <w:color w:val="333333"/>
          <w:sz w:val="22"/>
          <w:szCs w:val="22"/>
          <w:lang w:eastAsia="en-US"/>
        </w:rPr>
        <w:t>Governments may act as administrators of trust agreements that provide public or private benefit. </w:t>
      </w:r>
    </w:p>
    <w:p w14:paraId="53C6056B" w14:textId="77777777" w:rsidR="00985F8F" w:rsidRPr="00EE404C" w:rsidRDefault="00985F8F" w:rsidP="00FD5697">
      <w:pPr>
        <w:spacing w:line="255" w:lineRule="atLeast"/>
        <w:jc w:val="both"/>
        <w:rPr>
          <w:rFonts w:ascii="Calibri" w:eastAsia="Times New Roman" w:hAnsi="Calibri" w:cs="Calibri"/>
          <w:color w:val="333333"/>
          <w:sz w:val="22"/>
          <w:szCs w:val="22"/>
          <w:lang w:eastAsia="en-US"/>
        </w:rPr>
      </w:pPr>
    </w:p>
    <w:p w14:paraId="3073F4B9" w14:textId="77777777" w:rsidR="00985F8F" w:rsidRPr="00EE404C" w:rsidRDefault="00985F8F" w:rsidP="00FD5697">
      <w:pPr>
        <w:spacing w:line="255" w:lineRule="atLeast"/>
        <w:jc w:val="both"/>
        <w:rPr>
          <w:rFonts w:ascii="Calibri" w:eastAsia="Times New Roman" w:hAnsi="Calibri" w:cs="Calibri"/>
          <w:color w:val="333333"/>
          <w:sz w:val="22"/>
          <w:szCs w:val="22"/>
          <w:lang w:eastAsia="en-US"/>
        </w:rPr>
      </w:pPr>
      <w:r w:rsidRPr="00EE404C">
        <w:rPr>
          <w:rFonts w:ascii="Calibri" w:eastAsia="Times New Roman" w:hAnsi="Calibri" w:cs="Calibri"/>
          <w:i/>
          <w:iCs/>
          <w:color w:val="333333"/>
          <w:sz w:val="22"/>
          <w:szCs w:val="22"/>
          <w:lang w:eastAsia="en-US"/>
        </w:rPr>
        <w:t>Public trust funds</w:t>
      </w:r>
      <w:r w:rsidRPr="00EE404C">
        <w:rPr>
          <w:rFonts w:ascii="Calibri" w:eastAsia="Times New Roman" w:hAnsi="Calibri" w:cs="Calibri"/>
          <w:color w:val="333333"/>
          <w:sz w:val="22"/>
          <w:szCs w:val="22"/>
          <w:lang w:eastAsia="en-US"/>
        </w:rPr>
        <w:t xml:space="preserve"> are those whose principal or income, or both, must be used for some public purpose. </w:t>
      </w:r>
    </w:p>
    <w:p w14:paraId="02474429" w14:textId="77777777" w:rsidR="00985F8F" w:rsidRPr="00EE404C" w:rsidRDefault="00985F8F" w:rsidP="00FD5697">
      <w:pPr>
        <w:spacing w:line="255" w:lineRule="atLeast"/>
        <w:jc w:val="both"/>
        <w:rPr>
          <w:rFonts w:ascii="Calibri" w:eastAsia="Times New Roman" w:hAnsi="Calibri" w:cs="Calibri"/>
          <w:color w:val="333333"/>
          <w:sz w:val="22"/>
          <w:szCs w:val="22"/>
          <w:lang w:eastAsia="en-US"/>
        </w:rPr>
      </w:pPr>
    </w:p>
    <w:p w14:paraId="22CEEE7E" w14:textId="77777777" w:rsidR="00985F8F" w:rsidRPr="00EE404C" w:rsidRDefault="00985F8F" w:rsidP="00FD5697">
      <w:pPr>
        <w:spacing w:line="255" w:lineRule="atLeast"/>
        <w:jc w:val="both"/>
        <w:rPr>
          <w:rFonts w:ascii="Calibri" w:eastAsia="Times New Roman" w:hAnsi="Calibri" w:cs="Calibri"/>
          <w:color w:val="333333"/>
          <w:sz w:val="22"/>
          <w:szCs w:val="22"/>
          <w:lang w:eastAsia="en-US"/>
        </w:rPr>
      </w:pPr>
      <w:r w:rsidRPr="00EE404C">
        <w:rPr>
          <w:rFonts w:ascii="Calibri" w:eastAsia="Times New Roman" w:hAnsi="Calibri" w:cs="Calibri"/>
          <w:color w:val="333333"/>
          <w:sz w:val="22"/>
          <w:szCs w:val="22"/>
          <w:lang w:eastAsia="en-US"/>
        </w:rPr>
        <w:t>The beneficiaries of </w:t>
      </w:r>
      <w:r w:rsidRPr="00EE404C">
        <w:rPr>
          <w:rFonts w:ascii="Calibri" w:eastAsia="Times New Roman" w:hAnsi="Calibri" w:cs="Calibri"/>
          <w:i/>
          <w:iCs/>
          <w:color w:val="333333"/>
          <w:sz w:val="22"/>
          <w:szCs w:val="22"/>
          <w:lang w:eastAsia="en-US"/>
        </w:rPr>
        <w:t>private trust funds</w:t>
      </w:r>
      <w:r w:rsidRPr="00EE404C">
        <w:rPr>
          <w:rFonts w:ascii="Calibri" w:eastAsia="Times New Roman" w:hAnsi="Calibri" w:cs="Calibri"/>
          <w:color w:val="333333"/>
          <w:sz w:val="22"/>
          <w:szCs w:val="22"/>
          <w:lang w:eastAsia="en-US"/>
        </w:rPr>
        <w:t xml:space="preserve"> are private individuals, organizations, or other governments. </w:t>
      </w:r>
    </w:p>
    <w:p w14:paraId="34310472" w14:textId="77777777" w:rsidR="00985F8F" w:rsidRPr="00EE404C" w:rsidRDefault="00985F8F" w:rsidP="00FD5697">
      <w:pPr>
        <w:spacing w:line="255" w:lineRule="atLeast"/>
        <w:jc w:val="both"/>
        <w:rPr>
          <w:rFonts w:ascii="Calibri" w:eastAsia="Times New Roman" w:hAnsi="Calibri" w:cs="Calibri"/>
          <w:color w:val="333333"/>
          <w:sz w:val="22"/>
          <w:szCs w:val="22"/>
          <w:lang w:eastAsia="en-US"/>
        </w:rPr>
      </w:pPr>
    </w:p>
    <w:p w14:paraId="6C296B1B" w14:textId="619A8C3B" w:rsidR="00985F8F" w:rsidRPr="00EE404C" w:rsidRDefault="00985F8F" w:rsidP="00FD5697">
      <w:pPr>
        <w:spacing w:line="255" w:lineRule="atLeast"/>
        <w:jc w:val="both"/>
        <w:rPr>
          <w:rFonts w:ascii="Calibri" w:eastAsia="Times New Roman" w:hAnsi="Calibri" w:cs="Calibri"/>
          <w:color w:val="333333"/>
          <w:sz w:val="22"/>
          <w:szCs w:val="22"/>
          <w:lang w:eastAsia="en-US"/>
        </w:rPr>
      </w:pPr>
      <w:r w:rsidRPr="00EE404C">
        <w:rPr>
          <w:rFonts w:ascii="Calibri" w:eastAsia="Times New Roman" w:hAnsi="Calibri" w:cs="Calibri"/>
          <w:color w:val="333333"/>
          <w:sz w:val="22"/>
          <w:szCs w:val="22"/>
          <w:lang w:eastAsia="en-US"/>
        </w:rPr>
        <w:t>A common example of a private trust fund is a state-sponsored 529 savings plan, structured such that parents make after-tax contributions to an investment fund managed by the state government. Contributions are maintained by the government until withdrawn by parents or students to pay educational costs of the student.</w:t>
      </w:r>
    </w:p>
    <w:p w14:paraId="0102954B" w14:textId="4FAAE649" w:rsidR="00FD5697" w:rsidRPr="00EE404C" w:rsidRDefault="00FD5697" w:rsidP="00FD5697">
      <w:pPr>
        <w:spacing w:line="255" w:lineRule="atLeast"/>
        <w:jc w:val="both"/>
        <w:rPr>
          <w:rFonts w:ascii="Calibri" w:eastAsia="Times New Roman" w:hAnsi="Calibri" w:cs="Calibri"/>
          <w:color w:val="333333"/>
          <w:sz w:val="22"/>
          <w:szCs w:val="22"/>
          <w:lang w:eastAsia="en-US"/>
        </w:rPr>
      </w:pPr>
    </w:p>
    <w:p w14:paraId="6A516971" w14:textId="07EC61DD" w:rsidR="00FD5697" w:rsidRPr="00EE404C" w:rsidRDefault="00FD5697" w:rsidP="00FD5697">
      <w:pPr>
        <w:spacing w:line="255" w:lineRule="atLeast"/>
        <w:jc w:val="both"/>
        <w:rPr>
          <w:rFonts w:ascii="Calibri" w:eastAsia="Times New Roman" w:hAnsi="Calibri" w:cs="Calibri"/>
          <w:color w:val="333333"/>
          <w:sz w:val="22"/>
          <w:szCs w:val="22"/>
          <w:lang w:eastAsia="en-US"/>
        </w:rPr>
      </w:pPr>
      <w:r w:rsidRPr="00EE404C">
        <w:rPr>
          <w:rFonts w:ascii="Calibri" w:eastAsia="Times New Roman" w:hAnsi="Calibri" w:cs="Calibri"/>
          <w:color w:val="333333"/>
          <w:sz w:val="22"/>
          <w:szCs w:val="22"/>
          <w:lang w:eastAsia="en-US"/>
        </w:rPr>
        <w:t xml:space="preserve">Another example is a local civic group which donates money to the government to pay the utility bills of indigent individuals. </w:t>
      </w:r>
    </w:p>
    <w:p w14:paraId="0A79BF97" w14:textId="77777777" w:rsidR="00985F8F" w:rsidRPr="00EE404C" w:rsidRDefault="00985F8F" w:rsidP="00FD5697">
      <w:pPr>
        <w:spacing w:line="255" w:lineRule="atLeast"/>
        <w:jc w:val="both"/>
        <w:rPr>
          <w:rFonts w:ascii="Calibri" w:eastAsia="Times New Roman" w:hAnsi="Calibri" w:cs="Calibri"/>
          <w:color w:val="333333"/>
          <w:sz w:val="22"/>
          <w:szCs w:val="22"/>
          <w:lang w:eastAsia="en-US"/>
        </w:rPr>
      </w:pPr>
    </w:p>
    <w:p w14:paraId="4AE5C3A1" w14:textId="26023C8D" w:rsidR="00985F8F" w:rsidRPr="00EE404C" w:rsidRDefault="001B0824" w:rsidP="00FD5697">
      <w:pPr>
        <w:spacing w:line="255" w:lineRule="atLeast"/>
        <w:jc w:val="both"/>
        <w:rPr>
          <w:rFonts w:ascii="Calibri" w:eastAsia="Times New Roman" w:hAnsi="Calibri" w:cs="Calibri"/>
          <w:color w:val="333333"/>
          <w:sz w:val="22"/>
          <w:szCs w:val="22"/>
          <w:lang w:eastAsia="en-US"/>
        </w:rPr>
      </w:pPr>
      <w:r w:rsidRPr="00EE404C">
        <w:rPr>
          <w:rFonts w:ascii="Calibri" w:eastAsia="Times New Roman" w:hAnsi="Calibri" w:cs="Calibri"/>
          <w:b/>
          <w:color w:val="333333"/>
          <w:sz w:val="22"/>
          <w:szCs w:val="22"/>
          <w:lang w:eastAsia="en-US"/>
        </w:rPr>
        <w:t>Permanent Funds:</w:t>
      </w:r>
      <w:r w:rsidRPr="00EE404C">
        <w:rPr>
          <w:rFonts w:ascii="Calibri" w:eastAsia="Times New Roman" w:hAnsi="Calibri" w:cs="Calibri"/>
          <w:color w:val="333333"/>
          <w:sz w:val="22"/>
          <w:szCs w:val="22"/>
          <w:lang w:eastAsia="en-US"/>
        </w:rPr>
        <w:t xml:space="preserve"> </w:t>
      </w:r>
      <w:r w:rsidR="00985F8F" w:rsidRPr="00EE404C">
        <w:rPr>
          <w:rFonts w:ascii="Calibri" w:eastAsia="Times New Roman" w:hAnsi="Calibri" w:cs="Calibri"/>
          <w:color w:val="333333"/>
          <w:sz w:val="22"/>
          <w:szCs w:val="22"/>
          <w:lang w:eastAsia="en-US"/>
        </w:rPr>
        <w:t xml:space="preserve">Because most trusts administered by governments are created for public purposes (for example, to maintain parks and cemeteries or to acquire art for public buildings), they are considered governmental rather than fiduciary activities under GASB standards. Thus, nonexpendable public-purpose trusts are accounted for as permanent funds, and expendable public-purpose trusts are accounted for as special revenue funds. </w:t>
      </w:r>
    </w:p>
    <w:p w14:paraId="0A719CFF" w14:textId="7258166E" w:rsidR="00FE0963" w:rsidRPr="00EE404C" w:rsidRDefault="00FE0963" w:rsidP="00FD5697">
      <w:pPr>
        <w:spacing w:line="255" w:lineRule="atLeast"/>
        <w:jc w:val="both"/>
        <w:rPr>
          <w:rFonts w:ascii="Calibri" w:eastAsia="Times New Roman" w:hAnsi="Calibri" w:cs="Calibri"/>
          <w:color w:val="333333"/>
          <w:sz w:val="22"/>
          <w:szCs w:val="22"/>
          <w:lang w:eastAsia="en-US"/>
        </w:rPr>
      </w:pPr>
    </w:p>
    <w:p w14:paraId="386165B6" w14:textId="1BEB1DB4" w:rsidR="00FE0963" w:rsidRPr="00EE404C" w:rsidRDefault="00FE0963" w:rsidP="00FD5697">
      <w:pPr>
        <w:spacing w:line="255" w:lineRule="atLeast"/>
        <w:jc w:val="both"/>
        <w:rPr>
          <w:rFonts w:ascii="Calibri" w:eastAsia="Times New Roman" w:hAnsi="Calibri" w:cs="Calibri"/>
          <w:color w:val="333333"/>
          <w:sz w:val="22"/>
          <w:szCs w:val="22"/>
          <w:lang w:eastAsia="en-US"/>
        </w:rPr>
      </w:pPr>
      <w:r w:rsidRPr="00EE404C">
        <w:rPr>
          <w:rFonts w:ascii="Calibri" w:eastAsia="Times New Roman" w:hAnsi="Calibri" w:cs="Calibri"/>
          <w:color w:val="333333"/>
          <w:sz w:val="22"/>
          <w:szCs w:val="22"/>
          <w:lang w:eastAsia="en-US"/>
        </w:rPr>
        <w:t xml:space="preserve">An example of a permanent fund would be a contribution to the government </w:t>
      </w:r>
      <w:r w:rsidRPr="00EE404C">
        <w:rPr>
          <w:rFonts w:ascii="Calibri" w:eastAsia="Times New Roman" w:hAnsi="Calibri" w:cs="Calibri"/>
          <w:b/>
          <w:color w:val="333333"/>
          <w:sz w:val="22"/>
          <w:szCs w:val="22"/>
          <w:lang w:eastAsia="en-US"/>
        </w:rPr>
        <w:t xml:space="preserve">the earnings of which are to be used for the public good </w:t>
      </w:r>
      <w:r w:rsidRPr="00EE404C">
        <w:rPr>
          <w:rFonts w:ascii="Calibri" w:eastAsia="Times New Roman" w:hAnsi="Calibri" w:cs="Calibri"/>
          <w:color w:val="333333"/>
          <w:sz w:val="22"/>
          <w:szCs w:val="22"/>
          <w:lang w:eastAsia="en-US"/>
        </w:rPr>
        <w:t xml:space="preserve">such as an enhancement to a public park. </w:t>
      </w:r>
    </w:p>
    <w:p w14:paraId="322FCE5B" w14:textId="2A2BDD6C" w:rsidR="00985F8F" w:rsidRPr="00EE404C" w:rsidRDefault="00985F8F" w:rsidP="00FD5697">
      <w:pPr>
        <w:jc w:val="both"/>
        <w:rPr>
          <w:rFonts w:ascii="Calibri" w:eastAsia="Times New Roman" w:hAnsi="Calibri" w:cs="Calibri"/>
          <w:sz w:val="22"/>
          <w:szCs w:val="22"/>
        </w:rPr>
      </w:pPr>
    </w:p>
    <w:p w14:paraId="22AAFF29" w14:textId="1FB08158" w:rsidR="00567AA1" w:rsidRPr="00EE404C" w:rsidRDefault="00567AA1" w:rsidP="00FD5697">
      <w:pPr>
        <w:jc w:val="both"/>
        <w:rPr>
          <w:rFonts w:ascii="Calibri" w:eastAsia="Times New Roman" w:hAnsi="Calibri" w:cs="Calibri"/>
          <w:b/>
          <w:bCs/>
          <w:sz w:val="22"/>
          <w:szCs w:val="22"/>
          <w:lang w:eastAsia="en-US"/>
        </w:rPr>
      </w:pPr>
      <w:r w:rsidRPr="00EE404C">
        <w:rPr>
          <w:rFonts w:ascii="Calibri" w:eastAsia="Times New Roman" w:hAnsi="Calibri" w:cs="Calibri"/>
          <w:b/>
          <w:bCs/>
          <w:color w:val="00ADEE"/>
          <w:sz w:val="22"/>
          <w:szCs w:val="22"/>
          <w:lang w:eastAsia="en-US"/>
        </w:rPr>
        <w:br w:type="page"/>
      </w:r>
      <w:r w:rsidRPr="00EE404C">
        <w:rPr>
          <w:rFonts w:ascii="Calibri" w:eastAsia="Times New Roman" w:hAnsi="Calibri" w:cs="Calibri"/>
          <w:b/>
          <w:bCs/>
          <w:sz w:val="22"/>
          <w:szCs w:val="22"/>
          <w:lang w:eastAsia="en-US"/>
        </w:rPr>
        <w:lastRenderedPageBreak/>
        <w:t>PENSION TRUST FUNDS</w:t>
      </w:r>
    </w:p>
    <w:p w14:paraId="515EC769" w14:textId="77777777" w:rsidR="00567AA1" w:rsidRPr="00EE404C" w:rsidRDefault="00567AA1" w:rsidP="00FD5697">
      <w:pPr>
        <w:jc w:val="both"/>
        <w:rPr>
          <w:rFonts w:ascii="Calibri" w:eastAsia="Times New Roman" w:hAnsi="Calibri" w:cs="Calibri"/>
          <w:sz w:val="22"/>
          <w:szCs w:val="22"/>
          <w:lang w:eastAsia="en-US"/>
        </w:rPr>
      </w:pPr>
    </w:p>
    <w:p w14:paraId="5F3C0BB4" w14:textId="77777777" w:rsidR="00567AA1" w:rsidRPr="00EE404C" w:rsidRDefault="00567AA1" w:rsidP="00FD5697">
      <w:pPr>
        <w:spacing w:line="255" w:lineRule="atLeast"/>
        <w:jc w:val="both"/>
        <w:rPr>
          <w:rFonts w:ascii="Calibri" w:eastAsia="Times New Roman" w:hAnsi="Calibri" w:cs="Calibri"/>
          <w:color w:val="333333"/>
          <w:sz w:val="22"/>
          <w:szCs w:val="22"/>
          <w:lang w:eastAsia="en-US"/>
        </w:rPr>
      </w:pPr>
      <w:r w:rsidRPr="00EE404C">
        <w:rPr>
          <w:rFonts w:ascii="Calibri" w:eastAsia="Times New Roman" w:hAnsi="Calibri" w:cs="Calibri"/>
          <w:color w:val="333333"/>
          <w:sz w:val="22"/>
          <w:szCs w:val="22"/>
          <w:lang w:eastAsia="en-US"/>
        </w:rPr>
        <w:t xml:space="preserve">GASB standards provide comprehensive guidance on pension accounting and financial reporting for defined benefit pension plans and for the plan sponsor and employer. </w:t>
      </w:r>
    </w:p>
    <w:p w14:paraId="1E6B58D7" w14:textId="77777777" w:rsidR="00567AA1" w:rsidRPr="00EE404C" w:rsidRDefault="00567AA1" w:rsidP="00FD5697">
      <w:pPr>
        <w:spacing w:line="255" w:lineRule="atLeast"/>
        <w:jc w:val="both"/>
        <w:rPr>
          <w:rFonts w:ascii="Calibri" w:eastAsia="Times New Roman" w:hAnsi="Calibri" w:cs="Calibri"/>
          <w:color w:val="333333"/>
          <w:sz w:val="22"/>
          <w:szCs w:val="22"/>
          <w:lang w:eastAsia="en-US"/>
        </w:rPr>
      </w:pPr>
    </w:p>
    <w:p w14:paraId="5E0BBB7B" w14:textId="5301ED5C" w:rsidR="00567AA1" w:rsidRPr="00EE404C" w:rsidRDefault="00567AA1" w:rsidP="00FD5697">
      <w:pPr>
        <w:jc w:val="both"/>
        <w:rPr>
          <w:rFonts w:ascii="Calibri" w:eastAsia="Times New Roman" w:hAnsi="Calibri" w:cs="Calibri"/>
          <w:b/>
          <w:bCs/>
          <w:color w:val="333333"/>
          <w:sz w:val="22"/>
          <w:szCs w:val="22"/>
          <w:lang w:eastAsia="en-US"/>
        </w:rPr>
      </w:pPr>
      <w:r w:rsidRPr="00EE404C">
        <w:rPr>
          <w:rFonts w:ascii="Calibri" w:eastAsia="Times New Roman" w:hAnsi="Calibri" w:cs="Calibri"/>
          <w:b/>
          <w:bCs/>
          <w:color w:val="333333"/>
          <w:sz w:val="22"/>
          <w:szCs w:val="22"/>
          <w:lang w:eastAsia="en-US"/>
        </w:rPr>
        <w:t>General Characteristics of Governmental Pension Plans</w:t>
      </w:r>
    </w:p>
    <w:p w14:paraId="0BFBCA5A" w14:textId="77777777" w:rsidR="00567AA1" w:rsidRPr="00EE404C" w:rsidRDefault="00567AA1" w:rsidP="00FD5697">
      <w:pPr>
        <w:jc w:val="both"/>
        <w:rPr>
          <w:rFonts w:ascii="Calibri" w:eastAsia="Times New Roman" w:hAnsi="Calibri" w:cs="Calibri"/>
          <w:color w:val="333333"/>
          <w:sz w:val="22"/>
          <w:szCs w:val="22"/>
          <w:lang w:eastAsia="en-US"/>
        </w:rPr>
      </w:pPr>
    </w:p>
    <w:p w14:paraId="466DA883" w14:textId="77777777" w:rsidR="00567AA1" w:rsidRPr="00EE404C" w:rsidRDefault="00567AA1" w:rsidP="00FD5697">
      <w:pPr>
        <w:spacing w:line="255" w:lineRule="atLeast"/>
        <w:jc w:val="both"/>
        <w:rPr>
          <w:rFonts w:ascii="Calibri" w:eastAsia="Times New Roman" w:hAnsi="Calibri" w:cs="Calibri"/>
          <w:color w:val="333333"/>
          <w:sz w:val="22"/>
          <w:szCs w:val="22"/>
          <w:lang w:eastAsia="en-US"/>
        </w:rPr>
      </w:pPr>
      <w:r w:rsidRPr="00EE404C">
        <w:rPr>
          <w:rFonts w:ascii="Calibri" w:eastAsia="Times New Roman" w:hAnsi="Calibri" w:cs="Calibri"/>
          <w:color w:val="333333"/>
          <w:sz w:val="22"/>
          <w:szCs w:val="22"/>
          <w:lang w:eastAsia="en-US"/>
        </w:rPr>
        <w:t>Pension plans are of two general types, </w:t>
      </w:r>
      <w:r w:rsidRPr="00EE404C">
        <w:rPr>
          <w:rFonts w:ascii="Calibri" w:eastAsia="Times New Roman" w:hAnsi="Calibri" w:cs="Calibri"/>
          <w:i/>
          <w:iCs/>
          <w:color w:val="333333"/>
          <w:sz w:val="22"/>
          <w:szCs w:val="22"/>
          <w:lang w:eastAsia="en-US"/>
        </w:rPr>
        <w:t>defined contribution plans</w:t>
      </w:r>
      <w:r w:rsidRPr="00EE404C">
        <w:rPr>
          <w:rFonts w:ascii="Calibri" w:eastAsia="Times New Roman" w:hAnsi="Calibri" w:cs="Calibri"/>
          <w:color w:val="333333"/>
          <w:sz w:val="22"/>
          <w:szCs w:val="22"/>
          <w:lang w:eastAsia="en-US"/>
        </w:rPr>
        <w:t> and </w:t>
      </w:r>
      <w:r w:rsidRPr="00EE404C">
        <w:rPr>
          <w:rFonts w:ascii="Calibri" w:eastAsia="Times New Roman" w:hAnsi="Calibri" w:cs="Calibri"/>
          <w:i/>
          <w:iCs/>
          <w:color w:val="333333"/>
          <w:sz w:val="22"/>
          <w:szCs w:val="22"/>
          <w:lang w:eastAsia="en-US"/>
        </w:rPr>
        <w:t>defined benefit plans.</w:t>
      </w:r>
      <w:r w:rsidRPr="00EE404C">
        <w:rPr>
          <w:rFonts w:ascii="Calibri" w:eastAsia="Times New Roman" w:hAnsi="Calibri" w:cs="Calibri"/>
          <w:color w:val="333333"/>
          <w:sz w:val="22"/>
          <w:szCs w:val="22"/>
          <w:lang w:eastAsia="en-US"/>
        </w:rPr>
        <w:t> </w:t>
      </w:r>
    </w:p>
    <w:p w14:paraId="661585CB" w14:textId="77777777" w:rsidR="00567AA1" w:rsidRPr="00EE404C" w:rsidRDefault="00567AA1" w:rsidP="00FD5697">
      <w:pPr>
        <w:spacing w:line="255" w:lineRule="atLeast"/>
        <w:jc w:val="both"/>
        <w:rPr>
          <w:rFonts w:ascii="Calibri" w:eastAsia="Times New Roman" w:hAnsi="Calibri" w:cs="Calibri"/>
          <w:color w:val="333333"/>
          <w:sz w:val="22"/>
          <w:szCs w:val="22"/>
          <w:lang w:eastAsia="en-US"/>
        </w:rPr>
      </w:pPr>
    </w:p>
    <w:p w14:paraId="05E00E83" w14:textId="77777777" w:rsidR="00567AA1" w:rsidRPr="00EE404C" w:rsidRDefault="00567AA1" w:rsidP="00FD5697">
      <w:pPr>
        <w:spacing w:line="255" w:lineRule="atLeast"/>
        <w:jc w:val="both"/>
        <w:rPr>
          <w:rFonts w:ascii="Calibri" w:eastAsia="Times New Roman" w:hAnsi="Calibri" w:cs="Calibri"/>
          <w:color w:val="333333"/>
          <w:sz w:val="22"/>
          <w:szCs w:val="22"/>
          <w:lang w:eastAsia="en-US"/>
        </w:rPr>
      </w:pPr>
      <w:r w:rsidRPr="00EE404C">
        <w:rPr>
          <w:rFonts w:ascii="Calibri" w:eastAsia="Times New Roman" w:hAnsi="Calibri" w:cs="Calibri"/>
          <w:color w:val="333333"/>
          <w:sz w:val="22"/>
          <w:szCs w:val="22"/>
          <w:lang w:eastAsia="en-US"/>
        </w:rPr>
        <w:t>A </w:t>
      </w:r>
      <w:r w:rsidRPr="00EE404C">
        <w:rPr>
          <w:rFonts w:ascii="Calibri" w:eastAsia="Times New Roman" w:hAnsi="Calibri" w:cs="Calibri"/>
          <w:b/>
          <w:bCs/>
          <w:color w:val="333333"/>
          <w:sz w:val="22"/>
          <w:szCs w:val="22"/>
          <w:lang w:eastAsia="en-US"/>
        </w:rPr>
        <w:t>defined contribution plan</w:t>
      </w:r>
      <w:r w:rsidRPr="00EE404C">
        <w:rPr>
          <w:rFonts w:ascii="Calibri" w:eastAsia="Times New Roman" w:hAnsi="Calibri" w:cs="Calibri"/>
          <w:color w:val="333333"/>
          <w:sz w:val="22"/>
          <w:szCs w:val="22"/>
          <w:lang w:eastAsia="en-US"/>
        </w:rPr>
        <w:t xml:space="preserve"> specifies the amount or rate of contribution, often a percentage of covered salary, that the employer and employees must contribute to the members’ accounts in the pension plan. The level of benefits payable upon retirement is determined by the total amount of contributions to a member's account and earnings on investments. Because future benefits are neither formula based nor guaranteed, the risk associated with defined contribution plans rests primarily with employees; the employer's responsibility essentially ends once the required contribution is made. </w:t>
      </w:r>
    </w:p>
    <w:p w14:paraId="3B9A21A5" w14:textId="77777777" w:rsidR="00567AA1" w:rsidRPr="00EE404C" w:rsidRDefault="00567AA1" w:rsidP="00FD5697">
      <w:pPr>
        <w:spacing w:line="255" w:lineRule="atLeast"/>
        <w:jc w:val="both"/>
        <w:rPr>
          <w:rFonts w:ascii="Calibri" w:eastAsia="Times New Roman" w:hAnsi="Calibri" w:cs="Calibri"/>
          <w:color w:val="333333"/>
          <w:sz w:val="22"/>
          <w:szCs w:val="22"/>
          <w:lang w:eastAsia="en-US"/>
        </w:rPr>
      </w:pPr>
    </w:p>
    <w:p w14:paraId="3E19E00B" w14:textId="77777777" w:rsidR="00567AA1" w:rsidRPr="00EE404C" w:rsidRDefault="00567AA1" w:rsidP="00FD5697">
      <w:pPr>
        <w:spacing w:line="255" w:lineRule="atLeast"/>
        <w:jc w:val="both"/>
        <w:rPr>
          <w:rFonts w:ascii="Calibri" w:eastAsia="Times New Roman" w:hAnsi="Calibri" w:cs="Calibri"/>
          <w:color w:val="333333"/>
          <w:sz w:val="22"/>
          <w:szCs w:val="22"/>
          <w:lang w:eastAsia="en-US"/>
        </w:rPr>
      </w:pPr>
      <w:r w:rsidRPr="00EE404C">
        <w:rPr>
          <w:rFonts w:ascii="Calibri" w:eastAsia="Times New Roman" w:hAnsi="Calibri" w:cs="Calibri"/>
          <w:color w:val="333333"/>
          <w:sz w:val="22"/>
          <w:szCs w:val="22"/>
          <w:lang w:eastAsia="en-US"/>
        </w:rPr>
        <w:t>Such plans ordinarily are </w:t>
      </w:r>
      <w:r w:rsidRPr="00EE404C">
        <w:rPr>
          <w:rFonts w:ascii="Calibri" w:eastAsia="Times New Roman" w:hAnsi="Calibri" w:cs="Calibri"/>
          <w:i/>
          <w:iCs/>
          <w:color w:val="333333"/>
          <w:sz w:val="22"/>
          <w:szCs w:val="22"/>
          <w:lang w:eastAsia="en-US"/>
        </w:rPr>
        <w:t>not</w:t>
      </w:r>
      <w:r w:rsidRPr="00EE404C">
        <w:rPr>
          <w:rFonts w:ascii="Calibri" w:eastAsia="Times New Roman" w:hAnsi="Calibri" w:cs="Calibri"/>
          <w:color w:val="333333"/>
          <w:sz w:val="22"/>
          <w:szCs w:val="22"/>
          <w:lang w:eastAsia="en-US"/>
        </w:rPr>
        <w:t xml:space="preserve"> administered on an actuarial basis; therefore, accounting and financial reporting requirements for both the plan and the employer are straightforward and present few complications. Essentially, the plan reports the fair value of pension assets and any liability for accrued plan benefits; the employer reports expenditures/expenses for the amount contributed to the plan. </w:t>
      </w:r>
    </w:p>
    <w:p w14:paraId="0A8AB8AC" w14:textId="77777777" w:rsidR="00567AA1" w:rsidRPr="00EE404C" w:rsidRDefault="00567AA1" w:rsidP="00FD5697">
      <w:pPr>
        <w:spacing w:line="255" w:lineRule="atLeast"/>
        <w:jc w:val="both"/>
        <w:rPr>
          <w:rFonts w:ascii="Calibri" w:eastAsia="Times New Roman" w:hAnsi="Calibri" w:cs="Calibri"/>
          <w:color w:val="333333"/>
          <w:sz w:val="22"/>
          <w:szCs w:val="22"/>
          <w:lang w:eastAsia="en-US"/>
        </w:rPr>
      </w:pPr>
    </w:p>
    <w:p w14:paraId="43C14994" w14:textId="77777777" w:rsidR="00567AA1" w:rsidRPr="00EE404C" w:rsidRDefault="00567AA1" w:rsidP="00FD5697">
      <w:pPr>
        <w:spacing w:line="255" w:lineRule="atLeast"/>
        <w:jc w:val="both"/>
        <w:rPr>
          <w:rFonts w:ascii="Calibri" w:eastAsia="Times New Roman" w:hAnsi="Calibri" w:cs="Calibri"/>
          <w:color w:val="333333"/>
          <w:sz w:val="22"/>
          <w:szCs w:val="22"/>
          <w:lang w:eastAsia="en-US"/>
        </w:rPr>
      </w:pPr>
      <w:r w:rsidRPr="00EE404C">
        <w:rPr>
          <w:rFonts w:ascii="Calibri" w:eastAsia="Times New Roman" w:hAnsi="Calibri" w:cs="Calibri"/>
          <w:color w:val="333333"/>
          <w:sz w:val="22"/>
          <w:szCs w:val="22"/>
          <w:lang w:eastAsia="en-US"/>
        </w:rPr>
        <w:t>A </w:t>
      </w:r>
      <w:r w:rsidRPr="00EE404C">
        <w:rPr>
          <w:rFonts w:ascii="Calibri" w:eastAsia="Times New Roman" w:hAnsi="Calibri" w:cs="Calibri"/>
          <w:b/>
          <w:bCs/>
          <w:color w:val="333333"/>
          <w:sz w:val="22"/>
          <w:szCs w:val="22"/>
          <w:lang w:eastAsia="en-US"/>
        </w:rPr>
        <w:t>defined benefit plan</w:t>
      </w:r>
      <w:r w:rsidRPr="00EE404C">
        <w:rPr>
          <w:rFonts w:ascii="Calibri" w:eastAsia="Times New Roman" w:hAnsi="Calibri" w:cs="Calibri"/>
          <w:color w:val="333333"/>
          <w:sz w:val="22"/>
          <w:szCs w:val="22"/>
          <w:lang w:eastAsia="en-US"/>
        </w:rPr>
        <w:t xml:space="preserve"> provides a specified amount of benefits to a retiree based on a formula that may include factors such as age, salary, and years of employment. Determining the present value of projected pension benefits involves numerous factors, such as employee mortality, employee turnover, salary progression, and investment earnings. </w:t>
      </w:r>
    </w:p>
    <w:p w14:paraId="667F1CEE" w14:textId="77777777" w:rsidR="00567AA1" w:rsidRPr="00EE404C" w:rsidRDefault="00567AA1" w:rsidP="00FD5697">
      <w:pPr>
        <w:spacing w:line="255" w:lineRule="atLeast"/>
        <w:jc w:val="both"/>
        <w:rPr>
          <w:rFonts w:ascii="Calibri" w:eastAsia="Times New Roman" w:hAnsi="Calibri" w:cs="Calibri"/>
          <w:color w:val="333333"/>
          <w:sz w:val="22"/>
          <w:szCs w:val="22"/>
          <w:lang w:eastAsia="en-US"/>
        </w:rPr>
      </w:pPr>
    </w:p>
    <w:p w14:paraId="0EEDA774" w14:textId="0F6DD690" w:rsidR="00567AA1" w:rsidRPr="00EE404C" w:rsidRDefault="00567AA1" w:rsidP="00FD5697">
      <w:pPr>
        <w:spacing w:line="255" w:lineRule="atLeast"/>
        <w:jc w:val="both"/>
        <w:rPr>
          <w:rFonts w:ascii="Calibri" w:eastAsia="Times New Roman" w:hAnsi="Calibri" w:cs="Calibri"/>
          <w:color w:val="333333"/>
          <w:sz w:val="22"/>
          <w:szCs w:val="22"/>
          <w:lang w:eastAsia="en-US"/>
        </w:rPr>
      </w:pPr>
      <w:r w:rsidRPr="00EE404C">
        <w:rPr>
          <w:rFonts w:ascii="Calibri" w:eastAsia="Times New Roman" w:hAnsi="Calibri" w:cs="Calibri"/>
          <w:color w:val="333333"/>
          <w:sz w:val="22"/>
          <w:szCs w:val="22"/>
          <w:lang w:eastAsia="en-US"/>
        </w:rPr>
        <w:t xml:space="preserve">To ensure that plan assets will be adequate to cover future benefits, professional actuaries are engaged to calculate the present value of benefits and the required contributions that must be made by employers and, in some cases, employees. The basic assumptions underlying actuaries’ projections may change over time, giving rise to periodic revisions in the required contributions. Because of the need to rely extensively on actuaries’ estimates, it is not surprising that accounting for defined benefit plans is much more complex than for defined contribution plans. </w:t>
      </w:r>
    </w:p>
    <w:p w14:paraId="03CCFD2D" w14:textId="79E1DEEC" w:rsidR="00567AA1" w:rsidRPr="00EE404C" w:rsidRDefault="00567AA1" w:rsidP="00FD5697">
      <w:pPr>
        <w:spacing w:line="255" w:lineRule="atLeast"/>
        <w:jc w:val="both"/>
        <w:rPr>
          <w:rFonts w:ascii="Calibri" w:eastAsia="Times New Roman" w:hAnsi="Calibri" w:cs="Calibri"/>
          <w:color w:val="333333"/>
          <w:sz w:val="22"/>
          <w:szCs w:val="22"/>
          <w:lang w:eastAsia="en-US"/>
        </w:rPr>
      </w:pPr>
    </w:p>
    <w:p w14:paraId="6932097B" w14:textId="77777777" w:rsidR="00567AA1" w:rsidRPr="00EE404C" w:rsidRDefault="00567AA1" w:rsidP="00FD5697">
      <w:pPr>
        <w:spacing w:line="255" w:lineRule="atLeast"/>
        <w:jc w:val="both"/>
        <w:rPr>
          <w:rFonts w:ascii="Calibri" w:eastAsia="Times New Roman" w:hAnsi="Calibri" w:cs="Calibri"/>
          <w:color w:val="333333"/>
          <w:sz w:val="22"/>
          <w:szCs w:val="22"/>
          <w:lang w:eastAsia="en-US"/>
        </w:rPr>
      </w:pPr>
    </w:p>
    <w:p w14:paraId="745F3A5E" w14:textId="58E6C6F8" w:rsidR="00567AA1" w:rsidRPr="00EE404C" w:rsidRDefault="00567AA1" w:rsidP="00FD5697">
      <w:pPr>
        <w:jc w:val="both"/>
        <w:rPr>
          <w:rFonts w:ascii="Calibri" w:eastAsia="Times New Roman" w:hAnsi="Calibri" w:cs="Calibri"/>
          <w:b/>
          <w:bCs/>
          <w:sz w:val="22"/>
          <w:szCs w:val="22"/>
          <w:lang w:eastAsia="en-US"/>
        </w:rPr>
      </w:pPr>
      <w:r w:rsidRPr="00EE404C">
        <w:rPr>
          <w:rFonts w:ascii="Calibri" w:eastAsia="Times New Roman" w:hAnsi="Calibri" w:cs="Calibri"/>
          <w:b/>
          <w:bCs/>
          <w:sz w:val="22"/>
          <w:szCs w:val="22"/>
          <w:lang w:eastAsia="en-US"/>
        </w:rPr>
        <w:t>OTHER POSTEMPLOYMENT BENEFITS (OPEB)</w:t>
      </w:r>
    </w:p>
    <w:p w14:paraId="286C021E" w14:textId="77777777" w:rsidR="00567AA1" w:rsidRPr="00EE404C" w:rsidRDefault="00567AA1" w:rsidP="00FD5697">
      <w:pPr>
        <w:jc w:val="both"/>
        <w:rPr>
          <w:rFonts w:ascii="Calibri" w:eastAsia="Times New Roman" w:hAnsi="Calibri" w:cs="Calibri"/>
          <w:sz w:val="22"/>
          <w:szCs w:val="22"/>
          <w:lang w:eastAsia="en-US"/>
        </w:rPr>
      </w:pPr>
    </w:p>
    <w:p w14:paraId="044F1E64" w14:textId="3B37E4C9" w:rsidR="00567AA1" w:rsidRPr="00EE404C" w:rsidRDefault="00567AA1" w:rsidP="00FD5697">
      <w:pPr>
        <w:spacing w:line="255" w:lineRule="atLeast"/>
        <w:jc w:val="both"/>
        <w:rPr>
          <w:rFonts w:ascii="Calibri" w:eastAsia="Times New Roman" w:hAnsi="Calibri" w:cs="Calibri"/>
          <w:color w:val="333333"/>
          <w:sz w:val="22"/>
          <w:szCs w:val="22"/>
          <w:lang w:eastAsia="en-US"/>
        </w:rPr>
      </w:pPr>
      <w:r w:rsidRPr="00EE404C">
        <w:rPr>
          <w:rFonts w:ascii="Calibri" w:eastAsia="Times New Roman" w:hAnsi="Calibri" w:cs="Calibri"/>
          <w:color w:val="333333"/>
          <w:sz w:val="22"/>
          <w:szCs w:val="22"/>
          <w:lang w:eastAsia="en-US"/>
        </w:rPr>
        <w:t xml:space="preserve">In addition to accounting and reporting of pension plans, GASB also requires accounting and reporting for </w:t>
      </w:r>
      <w:r w:rsidRPr="00EE404C">
        <w:rPr>
          <w:rFonts w:ascii="Calibri" w:eastAsia="Times New Roman" w:hAnsi="Calibri" w:cs="Calibri"/>
          <w:b/>
          <w:bCs/>
          <w:color w:val="333333"/>
          <w:sz w:val="22"/>
          <w:szCs w:val="22"/>
          <w:lang w:eastAsia="en-US"/>
        </w:rPr>
        <w:t>other postemployment benefits (OPEB).</w:t>
      </w:r>
      <w:r w:rsidRPr="00EE404C">
        <w:rPr>
          <w:rFonts w:ascii="Calibri" w:eastAsia="Times New Roman" w:hAnsi="Calibri" w:cs="Calibri"/>
          <w:color w:val="333333"/>
          <w:sz w:val="22"/>
          <w:szCs w:val="22"/>
          <w:lang w:eastAsia="en-US"/>
        </w:rPr>
        <w:t> OPEB includes benefits other than pensions, such as health care, life insurance, and long-term care, among others. The accounting and reporting for OPEB has historically been quite similar to that of defined benefit pension plans; however, the GASB issues separate standards for OPEB</w:t>
      </w:r>
    </w:p>
    <w:p w14:paraId="6FDA4542" w14:textId="77777777" w:rsidR="00985F8F" w:rsidRPr="00EE404C" w:rsidRDefault="00985F8F" w:rsidP="00FD5697">
      <w:pPr>
        <w:jc w:val="both"/>
        <w:rPr>
          <w:rFonts w:ascii="Calibri" w:eastAsia="Times New Roman" w:hAnsi="Calibri" w:cs="Calibri"/>
          <w:sz w:val="22"/>
          <w:szCs w:val="22"/>
        </w:rPr>
      </w:pPr>
    </w:p>
    <w:sectPr w:rsidR="00985F8F" w:rsidRPr="00EE404C" w:rsidSect="003C3A1F">
      <w:footerReference w:type="even" r:id="rId22"/>
      <w:footerReference w:type="default" r:id="rId23"/>
      <w:pgSz w:w="12240" w:h="15840"/>
      <w:pgMar w:top="81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86E3D" w14:textId="77777777" w:rsidR="00F17E4A" w:rsidRDefault="00F17E4A">
      <w:r>
        <w:separator/>
      </w:r>
    </w:p>
  </w:endnote>
  <w:endnote w:type="continuationSeparator" w:id="0">
    <w:p w14:paraId="1AB0739B" w14:textId="77777777" w:rsidR="00F17E4A" w:rsidRDefault="00F1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42231" w14:textId="77777777" w:rsidR="006D33DD" w:rsidRDefault="006D33DD" w:rsidP="002B5E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808F63" w14:textId="77777777" w:rsidR="006D33DD" w:rsidRDefault="006D33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80238" w14:textId="0C298054" w:rsidR="00D85B12" w:rsidRDefault="00D85B12">
    <w:pPr>
      <w:pStyle w:val="Footer"/>
      <w:jc w:val="right"/>
    </w:pPr>
    <w:r>
      <w:fldChar w:fldCharType="begin"/>
    </w:r>
    <w:r>
      <w:instrText xml:space="preserve"> PAGE   \* MERGEFORMAT </w:instrText>
    </w:r>
    <w:r>
      <w:fldChar w:fldCharType="separate"/>
    </w:r>
    <w:r w:rsidR="003F7DB4">
      <w:rPr>
        <w:noProof/>
      </w:rPr>
      <w:t>1</w:t>
    </w:r>
    <w:r>
      <w:rPr>
        <w:noProof/>
      </w:rPr>
      <w:fldChar w:fldCharType="end"/>
    </w:r>
  </w:p>
  <w:p w14:paraId="595F5C09" w14:textId="77777777" w:rsidR="006D33DD" w:rsidRDefault="006D33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880CA" w14:textId="77777777" w:rsidR="00F17E4A" w:rsidRDefault="00F17E4A">
      <w:r>
        <w:separator/>
      </w:r>
    </w:p>
  </w:footnote>
  <w:footnote w:type="continuationSeparator" w:id="0">
    <w:p w14:paraId="4F28BEEF" w14:textId="77777777" w:rsidR="00F17E4A" w:rsidRDefault="00F17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2A2"/>
    <w:multiLevelType w:val="hybridMultilevel"/>
    <w:tmpl w:val="70D8A594"/>
    <w:lvl w:ilvl="0" w:tplc="0409000F">
      <w:start w:val="3"/>
      <w:numFmt w:val="decimal"/>
      <w:lvlText w:val="%1."/>
      <w:lvlJc w:val="left"/>
      <w:pPr>
        <w:tabs>
          <w:tab w:val="num" w:pos="720"/>
        </w:tabs>
        <w:ind w:left="720" w:hanging="360"/>
      </w:pPr>
      <w:rPr>
        <w:rFonts w:hint="default"/>
      </w:rPr>
    </w:lvl>
    <w:lvl w:ilvl="1" w:tplc="9B8856D8">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5B06A8"/>
    <w:multiLevelType w:val="hybridMultilevel"/>
    <w:tmpl w:val="6F4C4240"/>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2B6980"/>
    <w:multiLevelType w:val="hybridMultilevel"/>
    <w:tmpl w:val="631226DE"/>
    <w:lvl w:ilvl="0" w:tplc="071E7F7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34D7E"/>
    <w:multiLevelType w:val="hybridMultilevel"/>
    <w:tmpl w:val="3DB256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8631084"/>
    <w:multiLevelType w:val="hybridMultilevel"/>
    <w:tmpl w:val="F0662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EC02E2B"/>
    <w:multiLevelType w:val="singleLevel"/>
    <w:tmpl w:val="AED81BE0"/>
    <w:lvl w:ilvl="0">
      <w:start w:val="2"/>
      <w:numFmt w:val="lowerLetter"/>
      <w:lvlText w:val="%1. "/>
      <w:lvlJc w:val="left"/>
      <w:pPr>
        <w:tabs>
          <w:tab w:val="num" w:pos="960"/>
        </w:tabs>
        <w:ind w:left="960" w:hanging="360"/>
      </w:pPr>
      <w:rPr>
        <w:rFonts w:ascii="Times New Roman" w:hAnsi="Times New Roman" w:hint="default"/>
        <w:b/>
        <w:i w:val="0"/>
        <w:sz w:val="24"/>
        <w:u w:val="none"/>
      </w:rPr>
    </w:lvl>
  </w:abstractNum>
  <w:abstractNum w:abstractNumId="6" w15:restartNumberingAfterBreak="0">
    <w:nsid w:val="32692B22"/>
    <w:multiLevelType w:val="hybridMultilevel"/>
    <w:tmpl w:val="6F601628"/>
    <w:lvl w:ilvl="0" w:tplc="52086A72">
      <w:start w:val="5"/>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FB3049"/>
    <w:multiLevelType w:val="hybridMultilevel"/>
    <w:tmpl w:val="F0662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1222A4"/>
    <w:multiLevelType w:val="hybridMultilevel"/>
    <w:tmpl w:val="47784822"/>
    <w:lvl w:ilvl="0" w:tplc="9D2E7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6213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3F55CA"/>
    <w:multiLevelType w:val="hybridMultilevel"/>
    <w:tmpl w:val="E0FA64CA"/>
    <w:lvl w:ilvl="0" w:tplc="BC14BED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5134E8"/>
    <w:multiLevelType w:val="singleLevel"/>
    <w:tmpl w:val="EF30883E"/>
    <w:lvl w:ilvl="0">
      <w:start w:val="3"/>
      <w:numFmt w:val="lowerLetter"/>
      <w:lvlText w:val="%1. "/>
      <w:lvlJc w:val="left"/>
      <w:pPr>
        <w:tabs>
          <w:tab w:val="num" w:pos="960"/>
        </w:tabs>
        <w:ind w:left="960" w:hanging="360"/>
      </w:pPr>
      <w:rPr>
        <w:rFonts w:ascii="Times New Roman" w:hAnsi="Times New Roman" w:hint="default"/>
        <w:b/>
        <w:i w:val="0"/>
        <w:sz w:val="24"/>
        <w:u w:val="none"/>
      </w:rPr>
    </w:lvl>
  </w:abstractNum>
  <w:abstractNum w:abstractNumId="12" w15:restartNumberingAfterBreak="0">
    <w:nsid w:val="4CC02315"/>
    <w:multiLevelType w:val="hybridMultilevel"/>
    <w:tmpl w:val="6F383D76"/>
    <w:lvl w:ilvl="0" w:tplc="03A05EC0">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A764D2"/>
    <w:multiLevelType w:val="singleLevel"/>
    <w:tmpl w:val="1F124ED4"/>
    <w:lvl w:ilvl="0">
      <w:start w:val="1"/>
      <w:numFmt w:val="lowerLetter"/>
      <w:lvlText w:val="%1."/>
      <w:lvlJc w:val="left"/>
      <w:pPr>
        <w:tabs>
          <w:tab w:val="num" w:pos="360"/>
        </w:tabs>
        <w:ind w:left="360" w:hanging="360"/>
      </w:pPr>
      <w:rPr>
        <w:rFonts w:hint="default"/>
        <w:b/>
      </w:rPr>
    </w:lvl>
  </w:abstractNum>
  <w:abstractNum w:abstractNumId="14" w15:restartNumberingAfterBreak="0">
    <w:nsid w:val="536C2BD1"/>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6635F22"/>
    <w:multiLevelType w:val="hybridMultilevel"/>
    <w:tmpl w:val="3542ADE6"/>
    <w:lvl w:ilvl="0" w:tplc="D94013C6">
      <w:start w:val="18"/>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487D09"/>
    <w:multiLevelType w:val="hybridMultilevel"/>
    <w:tmpl w:val="7F706800"/>
    <w:lvl w:ilvl="0" w:tplc="8A3482CE">
      <w:start w:val="1"/>
      <w:numFmt w:val="decimal"/>
      <w:lvlText w:val="%1."/>
      <w:lvlJc w:val="left"/>
      <w:pPr>
        <w:ind w:left="1080" w:hanging="360"/>
      </w:pPr>
      <w:rPr>
        <w:rFonts w:ascii="Helvetica" w:eastAsia="SimSun" w:hAnsi="Helvetica" w:hint="default"/>
        <w:b w:val="0"/>
        <w:color w:val="333333"/>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AE3DF1"/>
    <w:multiLevelType w:val="hybridMultilevel"/>
    <w:tmpl w:val="A836C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7B5AFF"/>
    <w:multiLevelType w:val="singleLevel"/>
    <w:tmpl w:val="3FA87546"/>
    <w:lvl w:ilvl="0">
      <w:start w:val="6"/>
      <w:numFmt w:val="lowerLetter"/>
      <w:lvlText w:val="%1. "/>
      <w:lvlJc w:val="left"/>
      <w:pPr>
        <w:tabs>
          <w:tab w:val="num" w:pos="960"/>
        </w:tabs>
        <w:ind w:left="960" w:hanging="360"/>
      </w:pPr>
      <w:rPr>
        <w:rFonts w:ascii="Times New Roman" w:hAnsi="Times New Roman" w:hint="default"/>
        <w:b/>
        <w:i w:val="0"/>
        <w:sz w:val="24"/>
        <w:u w:val="none"/>
      </w:rPr>
    </w:lvl>
  </w:abstractNum>
  <w:abstractNum w:abstractNumId="19" w15:restartNumberingAfterBreak="0">
    <w:nsid w:val="5A9E3391"/>
    <w:multiLevelType w:val="singleLevel"/>
    <w:tmpl w:val="BC2C8A6C"/>
    <w:lvl w:ilvl="0">
      <w:start w:val="1"/>
      <w:numFmt w:val="lowerLetter"/>
      <w:lvlText w:val="%1. "/>
      <w:legacy w:legacy="1" w:legacySpace="0" w:legacyIndent="360"/>
      <w:lvlJc w:val="left"/>
      <w:pPr>
        <w:ind w:left="450" w:hanging="360"/>
      </w:pPr>
      <w:rPr>
        <w:rFonts w:ascii="Times New Roman" w:hAnsi="Times New Roman" w:cs="Times New Roman" w:hint="default"/>
        <w:b/>
        <w:i w:val="0"/>
        <w:sz w:val="24"/>
        <w:u w:val="none"/>
      </w:rPr>
    </w:lvl>
  </w:abstractNum>
  <w:abstractNum w:abstractNumId="20" w15:restartNumberingAfterBreak="0">
    <w:nsid w:val="5BC970AA"/>
    <w:multiLevelType w:val="hybridMultilevel"/>
    <w:tmpl w:val="E72C3B18"/>
    <w:lvl w:ilvl="0" w:tplc="756ABCFA">
      <w:start w:val="1"/>
      <w:numFmt w:val="upperLetter"/>
      <w:lvlText w:val="%1."/>
      <w:lvlJc w:val="left"/>
      <w:pPr>
        <w:tabs>
          <w:tab w:val="num" w:pos="720"/>
        </w:tabs>
        <w:ind w:left="720" w:hanging="360"/>
      </w:pPr>
      <w:rPr>
        <w:rFonts w:hint="default"/>
        <w:b/>
      </w:rPr>
    </w:lvl>
    <w:lvl w:ilvl="1" w:tplc="4710ABE4" w:tentative="1">
      <w:start w:val="1"/>
      <w:numFmt w:val="lowerLetter"/>
      <w:lvlText w:val="%2."/>
      <w:lvlJc w:val="left"/>
      <w:pPr>
        <w:tabs>
          <w:tab w:val="num" w:pos="1440"/>
        </w:tabs>
        <w:ind w:left="1440" w:hanging="360"/>
      </w:pPr>
    </w:lvl>
    <w:lvl w:ilvl="2" w:tplc="EBC813EE" w:tentative="1">
      <w:start w:val="1"/>
      <w:numFmt w:val="lowerRoman"/>
      <w:lvlText w:val="%3."/>
      <w:lvlJc w:val="right"/>
      <w:pPr>
        <w:tabs>
          <w:tab w:val="num" w:pos="2160"/>
        </w:tabs>
        <w:ind w:left="2160" w:hanging="180"/>
      </w:pPr>
    </w:lvl>
    <w:lvl w:ilvl="3" w:tplc="FF806674" w:tentative="1">
      <w:start w:val="1"/>
      <w:numFmt w:val="decimal"/>
      <w:lvlText w:val="%4."/>
      <w:lvlJc w:val="left"/>
      <w:pPr>
        <w:tabs>
          <w:tab w:val="num" w:pos="2880"/>
        </w:tabs>
        <w:ind w:left="2880" w:hanging="360"/>
      </w:pPr>
    </w:lvl>
    <w:lvl w:ilvl="4" w:tplc="0E02C678" w:tentative="1">
      <w:start w:val="1"/>
      <w:numFmt w:val="lowerLetter"/>
      <w:lvlText w:val="%5."/>
      <w:lvlJc w:val="left"/>
      <w:pPr>
        <w:tabs>
          <w:tab w:val="num" w:pos="3600"/>
        </w:tabs>
        <w:ind w:left="3600" w:hanging="360"/>
      </w:pPr>
    </w:lvl>
    <w:lvl w:ilvl="5" w:tplc="8C589104" w:tentative="1">
      <w:start w:val="1"/>
      <w:numFmt w:val="lowerRoman"/>
      <w:lvlText w:val="%6."/>
      <w:lvlJc w:val="right"/>
      <w:pPr>
        <w:tabs>
          <w:tab w:val="num" w:pos="4320"/>
        </w:tabs>
        <w:ind w:left="4320" w:hanging="180"/>
      </w:pPr>
    </w:lvl>
    <w:lvl w:ilvl="6" w:tplc="AFF4B1E0" w:tentative="1">
      <w:start w:val="1"/>
      <w:numFmt w:val="decimal"/>
      <w:lvlText w:val="%7."/>
      <w:lvlJc w:val="left"/>
      <w:pPr>
        <w:tabs>
          <w:tab w:val="num" w:pos="5040"/>
        </w:tabs>
        <w:ind w:left="5040" w:hanging="360"/>
      </w:pPr>
    </w:lvl>
    <w:lvl w:ilvl="7" w:tplc="78BE9612" w:tentative="1">
      <w:start w:val="1"/>
      <w:numFmt w:val="lowerLetter"/>
      <w:lvlText w:val="%8."/>
      <w:lvlJc w:val="left"/>
      <w:pPr>
        <w:tabs>
          <w:tab w:val="num" w:pos="5760"/>
        </w:tabs>
        <w:ind w:left="5760" w:hanging="360"/>
      </w:pPr>
    </w:lvl>
    <w:lvl w:ilvl="8" w:tplc="BFDCCE40" w:tentative="1">
      <w:start w:val="1"/>
      <w:numFmt w:val="lowerRoman"/>
      <w:lvlText w:val="%9."/>
      <w:lvlJc w:val="right"/>
      <w:pPr>
        <w:tabs>
          <w:tab w:val="num" w:pos="6480"/>
        </w:tabs>
        <w:ind w:left="6480" w:hanging="180"/>
      </w:pPr>
    </w:lvl>
  </w:abstractNum>
  <w:abstractNum w:abstractNumId="21" w15:restartNumberingAfterBreak="0">
    <w:nsid w:val="648D4769"/>
    <w:multiLevelType w:val="hybridMultilevel"/>
    <w:tmpl w:val="76B227FC"/>
    <w:lvl w:ilvl="0" w:tplc="89527B60">
      <w:start w:val="1"/>
      <w:numFmt w:val="lowerLetter"/>
      <w:lvlText w:val="%1."/>
      <w:lvlJc w:val="left"/>
      <w:pPr>
        <w:ind w:left="1530" w:hanging="360"/>
      </w:pPr>
      <w:rPr>
        <w:rFonts w:hint="default"/>
        <w:b/>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65472A59"/>
    <w:multiLevelType w:val="hybridMultilevel"/>
    <w:tmpl w:val="3F4CAFE6"/>
    <w:lvl w:ilvl="0" w:tplc="6D2A7BAE">
      <w:start w:val="1"/>
      <w:numFmt w:val="decimal"/>
      <w:lvlText w:val="%1."/>
      <w:lvlJc w:val="left"/>
      <w:pPr>
        <w:ind w:left="720" w:hanging="360"/>
      </w:pPr>
      <w:rPr>
        <w:rFonts w:ascii="Helvetica" w:eastAsia="SimSun" w:hAnsi="Helvetica" w:hint="default"/>
        <w:b w:val="0"/>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332F09"/>
    <w:multiLevelType w:val="hybridMultilevel"/>
    <w:tmpl w:val="7738064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4" w15:restartNumberingAfterBreak="0">
    <w:nsid w:val="70F64E60"/>
    <w:multiLevelType w:val="singleLevel"/>
    <w:tmpl w:val="66D0BDD6"/>
    <w:lvl w:ilvl="0">
      <w:start w:val="1"/>
      <w:numFmt w:val="lowerLetter"/>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25" w15:restartNumberingAfterBreak="0">
    <w:nsid w:val="75297F4B"/>
    <w:multiLevelType w:val="hybridMultilevel"/>
    <w:tmpl w:val="612E9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7B53CC"/>
    <w:multiLevelType w:val="hybridMultilevel"/>
    <w:tmpl w:val="E69C8988"/>
    <w:lvl w:ilvl="0" w:tplc="ADB8FF8C">
      <w:start w:val="1"/>
      <w:numFmt w:val="lowerLetter"/>
      <w:lvlText w:val="%1."/>
      <w:lvlJc w:val="left"/>
      <w:pPr>
        <w:tabs>
          <w:tab w:val="num" w:pos="780"/>
        </w:tabs>
        <w:ind w:left="780" w:hanging="420"/>
      </w:pPr>
      <w:rPr>
        <w:rFonts w:hint="default"/>
        <w:b/>
      </w:rPr>
    </w:lvl>
    <w:lvl w:ilvl="1" w:tplc="BC14BED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9311A62"/>
    <w:multiLevelType w:val="hybridMultilevel"/>
    <w:tmpl w:val="CE16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25FAA"/>
    <w:multiLevelType w:val="singleLevel"/>
    <w:tmpl w:val="3B78CCE4"/>
    <w:lvl w:ilvl="0">
      <w:start w:val="1"/>
      <w:numFmt w:val="lowerLetter"/>
      <w:lvlText w:val="%1. "/>
      <w:legacy w:legacy="1" w:legacySpace="0" w:legacyIndent="360"/>
      <w:lvlJc w:val="left"/>
      <w:pPr>
        <w:ind w:left="360" w:hanging="360"/>
      </w:pPr>
      <w:rPr>
        <w:rFonts w:ascii="Times New Roman" w:hAnsi="Times New Roman" w:cs="Times New Roman" w:hint="default"/>
        <w:b/>
        <w:i w:val="0"/>
        <w:sz w:val="24"/>
        <w:u w:val="none"/>
      </w:rPr>
    </w:lvl>
  </w:abstractNum>
  <w:num w:numId="1">
    <w:abstractNumId w:val="20"/>
  </w:num>
  <w:num w:numId="2">
    <w:abstractNumId w:val="9"/>
  </w:num>
  <w:num w:numId="3">
    <w:abstractNumId w:val="14"/>
  </w:num>
  <w:num w:numId="4">
    <w:abstractNumId w:val="19"/>
  </w:num>
  <w:num w:numId="5">
    <w:abstractNumId w:val="28"/>
  </w:num>
  <w:num w:numId="6">
    <w:abstractNumId w:val="24"/>
  </w:num>
  <w:num w:numId="7">
    <w:abstractNumId w:val="13"/>
  </w:num>
  <w:num w:numId="8">
    <w:abstractNumId w:val="11"/>
  </w:num>
  <w:num w:numId="9">
    <w:abstractNumId w:val="5"/>
  </w:num>
  <w:num w:numId="10">
    <w:abstractNumId w:val="18"/>
  </w:num>
  <w:num w:numId="11">
    <w:abstractNumId w:val="1"/>
  </w:num>
  <w:num w:numId="12">
    <w:abstractNumId w:val="0"/>
  </w:num>
  <w:num w:numId="13">
    <w:abstractNumId w:val="12"/>
  </w:num>
  <w:num w:numId="14">
    <w:abstractNumId w:val="26"/>
  </w:num>
  <w:num w:numId="15">
    <w:abstractNumId w:val="15"/>
  </w:num>
  <w:num w:numId="16">
    <w:abstractNumId w:val="2"/>
  </w:num>
  <w:num w:numId="17">
    <w:abstractNumId w:val="8"/>
  </w:num>
  <w:num w:numId="18">
    <w:abstractNumId w:val="23"/>
  </w:num>
  <w:num w:numId="19">
    <w:abstractNumId w:val="6"/>
  </w:num>
  <w:num w:numId="20">
    <w:abstractNumId w:val="25"/>
  </w:num>
  <w:num w:numId="21">
    <w:abstractNumId w:val="27"/>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2"/>
  </w:num>
  <w:num w:numId="25">
    <w:abstractNumId w:val="16"/>
  </w:num>
  <w:num w:numId="26">
    <w:abstractNumId w:val="3"/>
  </w:num>
  <w:num w:numId="27">
    <w:abstractNumId w:val="17"/>
  </w:num>
  <w:num w:numId="28">
    <w:abstractNumId w:val="21"/>
  </w:num>
  <w:num w:numId="2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16"/>
    <w:rsid w:val="0000020B"/>
    <w:rsid w:val="000006B5"/>
    <w:rsid w:val="00003B32"/>
    <w:rsid w:val="00005E93"/>
    <w:rsid w:val="000122BC"/>
    <w:rsid w:val="0001357D"/>
    <w:rsid w:val="000160DF"/>
    <w:rsid w:val="00022C02"/>
    <w:rsid w:val="000231A9"/>
    <w:rsid w:val="000319C6"/>
    <w:rsid w:val="00032B2F"/>
    <w:rsid w:val="00033A51"/>
    <w:rsid w:val="00033AE7"/>
    <w:rsid w:val="000341CF"/>
    <w:rsid w:val="000363E3"/>
    <w:rsid w:val="00040A48"/>
    <w:rsid w:val="000418E9"/>
    <w:rsid w:val="00043CF9"/>
    <w:rsid w:val="00044156"/>
    <w:rsid w:val="00047209"/>
    <w:rsid w:val="000562AD"/>
    <w:rsid w:val="000604CB"/>
    <w:rsid w:val="00060723"/>
    <w:rsid w:val="00060A5E"/>
    <w:rsid w:val="0006143F"/>
    <w:rsid w:val="0006370B"/>
    <w:rsid w:val="00063D16"/>
    <w:rsid w:val="000703B1"/>
    <w:rsid w:val="00070901"/>
    <w:rsid w:val="00071F57"/>
    <w:rsid w:val="000764E0"/>
    <w:rsid w:val="000823DB"/>
    <w:rsid w:val="00084AFA"/>
    <w:rsid w:val="000916B5"/>
    <w:rsid w:val="0009248D"/>
    <w:rsid w:val="00092F4D"/>
    <w:rsid w:val="00095595"/>
    <w:rsid w:val="00096BC6"/>
    <w:rsid w:val="00097BC9"/>
    <w:rsid w:val="00097CF2"/>
    <w:rsid w:val="000A4B78"/>
    <w:rsid w:val="000A583B"/>
    <w:rsid w:val="000B061E"/>
    <w:rsid w:val="000B0EC2"/>
    <w:rsid w:val="000B1CC7"/>
    <w:rsid w:val="000B5A98"/>
    <w:rsid w:val="000C1425"/>
    <w:rsid w:val="000C3022"/>
    <w:rsid w:val="000C6F53"/>
    <w:rsid w:val="000D175A"/>
    <w:rsid w:val="000D2808"/>
    <w:rsid w:val="000D2F95"/>
    <w:rsid w:val="000D3DB8"/>
    <w:rsid w:val="000D615D"/>
    <w:rsid w:val="000E2770"/>
    <w:rsid w:val="000E3928"/>
    <w:rsid w:val="000E3AD9"/>
    <w:rsid w:val="000E4D07"/>
    <w:rsid w:val="000E510C"/>
    <w:rsid w:val="000E6356"/>
    <w:rsid w:val="000E7092"/>
    <w:rsid w:val="000F02E0"/>
    <w:rsid w:val="000F2FFF"/>
    <w:rsid w:val="000F59A5"/>
    <w:rsid w:val="000F5DD8"/>
    <w:rsid w:val="000F6DE0"/>
    <w:rsid w:val="00101BAF"/>
    <w:rsid w:val="001020EC"/>
    <w:rsid w:val="00104784"/>
    <w:rsid w:val="00106AF0"/>
    <w:rsid w:val="0010771B"/>
    <w:rsid w:val="001129E1"/>
    <w:rsid w:val="00113B60"/>
    <w:rsid w:val="00115DAF"/>
    <w:rsid w:val="0011687F"/>
    <w:rsid w:val="00117176"/>
    <w:rsid w:val="001237DD"/>
    <w:rsid w:val="00125658"/>
    <w:rsid w:val="00126D4F"/>
    <w:rsid w:val="00130A1D"/>
    <w:rsid w:val="00132D72"/>
    <w:rsid w:val="00133355"/>
    <w:rsid w:val="00133B97"/>
    <w:rsid w:val="00137A03"/>
    <w:rsid w:val="00141B1A"/>
    <w:rsid w:val="0014409A"/>
    <w:rsid w:val="00146D04"/>
    <w:rsid w:val="00152516"/>
    <w:rsid w:val="0015427F"/>
    <w:rsid w:val="00161031"/>
    <w:rsid w:val="00163FA1"/>
    <w:rsid w:val="0016502E"/>
    <w:rsid w:val="00170B6E"/>
    <w:rsid w:val="001756D3"/>
    <w:rsid w:val="00176656"/>
    <w:rsid w:val="00180725"/>
    <w:rsid w:val="001815ED"/>
    <w:rsid w:val="001825DE"/>
    <w:rsid w:val="00183823"/>
    <w:rsid w:val="00187B2F"/>
    <w:rsid w:val="001908E8"/>
    <w:rsid w:val="00191791"/>
    <w:rsid w:val="001969E4"/>
    <w:rsid w:val="001A3007"/>
    <w:rsid w:val="001A5447"/>
    <w:rsid w:val="001B0824"/>
    <w:rsid w:val="001B2A14"/>
    <w:rsid w:val="001C1822"/>
    <w:rsid w:val="001C254F"/>
    <w:rsid w:val="001C2E0D"/>
    <w:rsid w:val="001C6DC8"/>
    <w:rsid w:val="001D2129"/>
    <w:rsid w:val="001D4B8E"/>
    <w:rsid w:val="001D6811"/>
    <w:rsid w:val="001E0113"/>
    <w:rsid w:val="001E19B2"/>
    <w:rsid w:val="001F1DA4"/>
    <w:rsid w:val="001F3527"/>
    <w:rsid w:val="001F4699"/>
    <w:rsid w:val="001F7229"/>
    <w:rsid w:val="00202004"/>
    <w:rsid w:val="0020288F"/>
    <w:rsid w:val="00206D9B"/>
    <w:rsid w:val="00206E15"/>
    <w:rsid w:val="00213DC5"/>
    <w:rsid w:val="00213FC0"/>
    <w:rsid w:val="00214316"/>
    <w:rsid w:val="00215406"/>
    <w:rsid w:val="00217CB0"/>
    <w:rsid w:val="002206B8"/>
    <w:rsid w:val="002208CF"/>
    <w:rsid w:val="002219D5"/>
    <w:rsid w:val="002232D6"/>
    <w:rsid w:val="00224166"/>
    <w:rsid w:val="002244E9"/>
    <w:rsid w:val="00224CE1"/>
    <w:rsid w:val="00227E38"/>
    <w:rsid w:val="002305CF"/>
    <w:rsid w:val="0023150E"/>
    <w:rsid w:val="00231DBC"/>
    <w:rsid w:val="00235884"/>
    <w:rsid w:val="00235BA3"/>
    <w:rsid w:val="0024096B"/>
    <w:rsid w:val="002426A0"/>
    <w:rsid w:val="002452C2"/>
    <w:rsid w:val="00245E5E"/>
    <w:rsid w:val="00247810"/>
    <w:rsid w:val="0024796A"/>
    <w:rsid w:val="00247CBE"/>
    <w:rsid w:val="0025108B"/>
    <w:rsid w:val="00262E82"/>
    <w:rsid w:val="00264B6C"/>
    <w:rsid w:val="002672DB"/>
    <w:rsid w:val="00270248"/>
    <w:rsid w:val="00270896"/>
    <w:rsid w:val="00270B16"/>
    <w:rsid w:val="00270F13"/>
    <w:rsid w:val="0027150C"/>
    <w:rsid w:val="0027358E"/>
    <w:rsid w:val="00273D56"/>
    <w:rsid w:val="002760DB"/>
    <w:rsid w:val="002802F7"/>
    <w:rsid w:val="00285F45"/>
    <w:rsid w:val="00292897"/>
    <w:rsid w:val="00294B24"/>
    <w:rsid w:val="002977ED"/>
    <w:rsid w:val="002A0A83"/>
    <w:rsid w:val="002A230C"/>
    <w:rsid w:val="002A480E"/>
    <w:rsid w:val="002A7128"/>
    <w:rsid w:val="002B1D6B"/>
    <w:rsid w:val="002B5E03"/>
    <w:rsid w:val="002B78DF"/>
    <w:rsid w:val="002C1F5E"/>
    <w:rsid w:val="002C406F"/>
    <w:rsid w:val="002C463F"/>
    <w:rsid w:val="002D2958"/>
    <w:rsid w:val="002D62AA"/>
    <w:rsid w:val="002E0B68"/>
    <w:rsid w:val="002E131F"/>
    <w:rsid w:val="002E29A3"/>
    <w:rsid w:val="002E353D"/>
    <w:rsid w:val="002E6561"/>
    <w:rsid w:val="002E6D04"/>
    <w:rsid w:val="002F1C9E"/>
    <w:rsid w:val="002F4C27"/>
    <w:rsid w:val="002F71DF"/>
    <w:rsid w:val="003016B8"/>
    <w:rsid w:val="00301D06"/>
    <w:rsid w:val="00310803"/>
    <w:rsid w:val="00313799"/>
    <w:rsid w:val="0031424C"/>
    <w:rsid w:val="00315022"/>
    <w:rsid w:val="00317196"/>
    <w:rsid w:val="003201CD"/>
    <w:rsid w:val="003253F0"/>
    <w:rsid w:val="003258EE"/>
    <w:rsid w:val="003308DC"/>
    <w:rsid w:val="00332102"/>
    <w:rsid w:val="003338FA"/>
    <w:rsid w:val="0033409A"/>
    <w:rsid w:val="003378EA"/>
    <w:rsid w:val="0034102A"/>
    <w:rsid w:val="00346599"/>
    <w:rsid w:val="00350996"/>
    <w:rsid w:val="00350F0B"/>
    <w:rsid w:val="003515D5"/>
    <w:rsid w:val="00354079"/>
    <w:rsid w:val="00354816"/>
    <w:rsid w:val="00357702"/>
    <w:rsid w:val="0036051A"/>
    <w:rsid w:val="0037012A"/>
    <w:rsid w:val="00373BE1"/>
    <w:rsid w:val="00373F3F"/>
    <w:rsid w:val="003846E7"/>
    <w:rsid w:val="00385447"/>
    <w:rsid w:val="00386235"/>
    <w:rsid w:val="003A0550"/>
    <w:rsid w:val="003A101B"/>
    <w:rsid w:val="003A2B06"/>
    <w:rsid w:val="003A303C"/>
    <w:rsid w:val="003B47D3"/>
    <w:rsid w:val="003B5CFD"/>
    <w:rsid w:val="003B6B94"/>
    <w:rsid w:val="003B782A"/>
    <w:rsid w:val="003C3A1F"/>
    <w:rsid w:val="003C4B84"/>
    <w:rsid w:val="003C554B"/>
    <w:rsid w:val="003D15FF"/>
    <w:rsid w:val="003D1EFF"/>
    <w:rsid w:val="003D203E"/>
    <w:rsid w:val="003D3483"/>
    <w:rsid w:val="003D6EE1"/>
    <w:rsid w:val="003E4785"/>
    <w:rsid w:val="003E7992"/>
    <w:rsid w:val="003F455F"/>
    <w:rsid w:val="003F509A"/>
    <w:rsid w:val="003F569F"/>
    <w:rsid w:val="003F744D"/>
    <w:rsid w:val="003F7DB4"/>
    <w:rsid w:val="00402FD1"/>
    <w:rsid w:val="0040480A"/>
    <w:rsid w:val="004063B5"/>
    <w:rsid w:val="00417B3B"/>
    <w:rsid w:val="00420694"/>
    <w:rsid w:val="004247BC"/>
    <w:rsid w:val="00426A57"/>
    <w:rsid w:val="00427DDC"/>
    <w:rsid w:val="004309C8"/>
    <w:rsid w:val="00431CDC"/>
    <w:rsid w:val="00432026"/>
    <w:rsid w:val="00441057"/>
    <w:rsid w:val="00444C18"/>
    <w:rsid w:val="00444C1A"/>
    <w:rsid w:val="0044726E"/>
    <w:rsid w:val="0045058A"/>
    <w:rsid w:val="00451E59"/>
    <w:rsid w:val="004548D0"/>
    <w:rsid w:val="00457323"/>
    <w:rsid w:val="004611F6"/>
    <w:rsid w:val="00466556"/>
    <w:rsid w:val="0046705E"/>
    <w:rsid w:val="0046793A"/>
    <w:rsid w:val="00467E04"/>
    <w:rsid w:val="004707D2"/>
    <w:rsid w:val="00472D9E"/>
    <w:rsid w:val="00475C63"/>
    <w:rsid w:val="00480C52"/>
    <w:rsid w:val="0048371B"/>
    <w:rsid w:val="00483C0D"/>
    <w:rsid w:val="00487D53"/>
    <w:rsid w:val="0049056A"/>
    <w:rsid w:val="004917C4"/>
    <w:rsid w:val="0049359F"/>
    <w:rsid w:val="004A275E"/>
    <w:rsid w:val="004A4038"/>
    <w:rsid w:val="004A6FA2"/>
    <w:rsid w:val="004B01BE"/>
    <w:rsid w:val="004B0F0E"/>
    <w:rsid w:val="004B6B41"/>
    <w:rsid w:val="004C3A09"/>
    <w:rsid w:val="004D07B0"/>
    <w:rsid w:val="004D21D6"/>
    <w:rsid w:val="004D418E"/>
    <w:rsid w:val="004E3B30"/>
    <w:rsid w:val="004E488D"/>
    <w:rsid w:val="004E57C4"/>
    <w:rsid w:val="004F1903"/>
    <w:rsid w:val="004F1956"/>
    <w:rsid w:val="004F4BDF"/>
    <w:rsid w:val="005029EC"/>
    <w:rsid w:val="005054DF"/>
    <w:rsid w:val="00505DC7"/>
    <w:rsid w:val="00511920"/>
    <w:rsid w:val="00511ED2"/>
    <w:rsid w:val="005123DD"/>
    <w:rsid w:val="00513AC9"/>
    <w:rsid w:val="00517A2A"/>
    <w:rsid w:val="00520906"/>
    <w:rsid w:val="00520D1F"/>
    <w:rsid w:val="00522B40"/>
    <w:rsid w:val="00527F83"/>
    <w:rsid w:val="00530F39"/>
    <w:rsid w:val="005324CF"/>
    <w:rsid w:val="00535E42"/>
    <w:rsid w:val="005370ED"/>
    <w:rsid w:val="0053786C"/>
    <w:rsid w:val="00540233"/>
    <w:rsid w:val="005412B7"/>
    <w:rsid w:val="005452FF"/>
    <w:rsid w:val="00545327"/>
    <w:rsid w:val="0055156A"/>
    <w:rsid w:val="00551879"/>
    <w:rsid w:val="0055546C"/>
    <w:rsid w:val="005554B1"/>
    <w:rsid w:val="0055606F"/>
    <w:rsid w:val="005576B2"/>
    <w:rsid w:val="00557719"/>
    <w:rsid w:val="00560FBA"/>
    <w:rsid w:val="00563CCF"/>
    <w:rsid w:val="00564B40"/>
    <w:rsid w:val="00566F38"/>
    <w:rsid w:val="00567AA1"/>
    <w:rsid w:val="005706E3"/>
    <w:rsid w:val="00574017"/>
    <w:rsid w:val="00584C5C"/>
    <w:rsid w:val="00586516"/>
    <w:rsid w:val="005865D3"/>
    <w:rsid w:val="00586980"/>
    <w:rsid w:val="005875A7"/>
    <w:rsid w:val="00590265"/>
    <w:rsid w:val="00592701"/>
    <w:rsid w:val="00595E0E"/>
    <w:rsid w:val="005A2E65"/>
    <w:rsid w:val="005A57F0"/>
    <w:rsid w:val="005A5BB5"/>
    <w:rsid w:val="005B3EE1"/>
    <w:rsid w:val="005B51C0"/>
    <w:rsid w:val="005B715D"/>
    <w:rsid w:val="005C58B9"/>
    <w:rsid w:val="005C650C"/>
    <w:rsid w:val="005E16F9"/>
    <w:rsid w:val="005E1C18"/>
    <w:rsid w:val="005F03BC"/>
    <w:rsid w:val="005F0EA0"/>
    <w:rsid w:val="005F25CB"/>
    <w:rsid w:val="005F49EC"/>
    <w:rsid w:val="00603638"/>
    <w:rsid w:val="00603B24"/>
    <w:rsid w:val="00607BF2"/>
    <w:rsid w:val="00610CC1"/>
    <w:rsid w:val="006148F0"/>
    <w:rsid w:val="0062056E"/>
    <w:rsid w:val="0062566D"/>
    <w:rsid w:val="0063190D"/>
    <w:rsid w:val="006328E4"/>
    <w:rsid w:val="006338E4"/>
    <w:rsid w:val="00634DBC"/>
    <w:rsid w:val="0063566D"/>
    <w:rsid w:val="0063784C"/>
    <w:rsid w:val="0064281A"/>
    <w:rsid w:val="0065162A"/>
    <w:rsid w:val="00652DE8"/>
    <w:rsid w:val="00653CCC"/>
    <w:rsid w:val="0065406C"/>
    <w:rsid w:val="00654998"/>
    <w:rsid w:val="00655EA5"/>
    <w:rsid w:val="00656C05"/>
    <w:rsid w:val="00656C64"/>
    <w:rsid w:val="00656CE6"/>
    <w:rsid w:val="00663C8B"/>
    <w:rsid w:val="006665A1"/>
    <w:rsid w:val="00667C53"/>
    <w:rsid w:val="0067006F"/>
    <w:rsid w:val="00672A86"/>
    <w:rsid w:val="0067491F"/>
    <w:rsid w:val="006813FA"/>
    <w:rsid w:val="00690C9D"/>
    <w:rsid w:val="0069699B"/>
    <w:rsid w:val="006A6FA1"/>
    <w:rsid w:val="006A70AE"/>
    <w:rsid w:val="006A72C2"/>
    <w:rsid w:val="006B1BA3"/>
    <w:rsid w:val="006B2A10"/>
    <w:rsid w:val="006B302C"/>
    <w:rsid w:val="006B55E3"/>
    <w:rsid w:val="006B69A7"/>
    <w:rsid w:val="006C12ED"/>
    <w:rsid w:val="006C2770"/>
    <w:rsid w:val="006C2C07"/>
    <w:rsid w:val="006C322F"/>
    <w:rsid w:val="006C3501"/>
    <w:rsid w:val="006C6D4B"/>
    <w:rsid w:val="006C72B8"/>
    <w:rsid w:val="006C79E0"/>
    <w:rsid w:val="006D3135"/>
    <w:rsid w:val="006D33DD"/>
    <w:rsid w:val="006D7039"/>
    <w:rsid w:val="006D7B88"/>
    <w:rsid w:val="006E0487"/>
    <w:rsid w:val="006E1396"/>
    <w:rsid w:val="006E404E"/>
    <w:rsid w:val="006E51B0"/>
    <w:rsid w:val="006E693B"/>
    <w:rsid w:val="006E7385"/>
    <w:rsid w:val="006F4022"/>
    <w:rsid w:val="006F7199"/>
    <w:rsid w:val="006F7680"/>
    <w:rsid w:val="0070305C"/>
    <w:rsid w:val="0071012A"/>
    <w:rsid w:val="00710B91"/>
    <w:rsid w:val="00712033"/>
    <w:rsid w:val="00717FEA"/>
    <w:rsid w:val="00721AAD"/>
    <w:rsid w:val="00721F63"/>
    <w:rsid w:val="007261EC"/>
    <w:rsid w:val="00726A09"/>
    <w:rsid w:val="0073372F"/>
    <w:rsid w:val="00736101"/>
    <w:rsid w:val="0073730A"/>
    <w:rsid w:val="00743473"/>
    <w:rsid w:val="00750A7A"/>
    <w:rsid w:val="00753C4D"/>
    <w:rsid w:val="00756876"/>
    <w:rsid w:val="00756B45"/>
    <w:rsid w:val="00762C5B"/>
    <w:rsid w:val="007646A6"/>
    <w:rsid w:val="007665F4"/>
    <w:rsid w:val="00771BB8"/>
    <w:rsid w:val="00774655"/>
    <w:rsid w:val="00776B79"/>
    <w:rsid w:val="00776D28"/>
    <w:rsid w:val="0077740B"/>
    <w:rsid w:val="0078045E"/>
    <w:rsid w:val="00785488"/>
    <w:rsid w:val="00786BFD"/>
    <w:rsid w:val="0079202B"/>
    <w:rsid w:val="007932F0"/>
    <w:rsid w:val="007A1152"/>
    <w:rsid w:val="007B29BC"/>
    <w:rsid w:val="007B3D13"/>
    <w:rsid w:val="007B3DAC"/>
    <w:rsid w:val="007B43D4"/>
    <w:rsid w:val="007B5F8B"/>
    <w:rsid w:val="007B6DCA"/>
    <w:rsid w:val="007B75F5"/>
    <w:rsid w:val="007C0036"/>
    <w:rsid w:val="007C0761"/>
    <w:rsid w:val="007C2885"/>
    <w:rsid w:val="007C749D"/>
    <w:rsid w:val="007D15B1"/>
    <w:rsid w:val="007D4ABF"/>
    <w:rsid w:val="007D4F40"/>
    <w:rsid w:val="007D6060"/>
    <w:rsid w:val="007D72AC"/>
    <w:rsid w:val="007E6D28"/>
    <w:rsid w:val="007F2282"/>
    <w:rsid w:val="007F510D"/>
    <w:rsid w:val="00801E5C"/>
    <w:rsid w:val="008032E8"/>
    <w:rsid w:val="008050BA"/>
    <w:rsid w:val="00810731"/>
    <w:rsid w:val="00811F63"/>
    <w:rsid w:val="008129EB"/>
    <w:rsid w:val="00812FA5"/>
    <w:rsid w:val="00816F98"/>
    <w:rsid w:val="00821BEC"/>
    <w:rsid w:val="00821D89"/>
    <w:rsid w:val="008227E0"/>
    <w:rsid w:val="008258F1"/>
    <w:rsid w:val="00827515"/>
    <w:rsid w:val="00827E68"/>
    <w:rsid w:val="00831035"/>
    <w:rsid w:val="008314CE"/>
    <w:rsid w:val="008326C1"/>
    <w:rsid w:val="00832AF2"/>
    <w:rsid w:val="00834541"/>
    <w:rsid w:val="00837909"/>
    <w:rsid w:val="00841604"/>
    <w:rsid w:val="00844BBD"/>
    <w:rsid w:val="0084502D"/>
    <w:rsid w:val="0084624D"/>
    <w:rsid w:val="00853342"/>
    <w:rsid w:val="00876EC1"/>
    <w:rsid w:val="0087710C"/>
    <w:rsid w:val="00890F88"/>
    <w:rsid w:val="00891C4A"/>
    <w:rsid w:val="00893D51"/>
    <w:rsid w:val="00894530"/>
    <w:rsid w:val="008951D9"/>
    <w:rsid w:val="00896248"/>
    <w:rsid w:val="008A11ED"/>
    <w:rsid w:val="008A3F33"/>
    <w:rsid w:val="008A4A66"/>
    <w:rsid w:val="008A709A"/>
    <w:rsid w:val="008B2495"/>
    <w:rsid w:val="008B34C3"/>
    <w:rsid w:val="008B792A"/>
    <w:rsid w:val="008C1AC7"/>
    <w:rsid w:val="008C52E9"/>
    <w:rsid w:val="008C6B25"/>
    <w:rsid w:val="008C6FE8"/>
    <w:rsid w:val="008E275F"/>
    <w:rsid w:val="008E376C"/>
    <w:rsid w:val="008E54E2"/>
    <w:rsid w:val="008E7D13"/>
    <w:rsid w:val="008F1B38"/>
    <w:rsid w:val="008F57F1"/>
    <w:rsid w:val="008F6E69"/>
    <w:rsid w:val="008F749D"/>
    <w:rsid w:val="00900414"/>
    <w:rsid w:val="00905972"/>
    <w:rsid w:val="0091055B"/>
    <w:rsid w:val="00913B24"/>
    <w:rsid w:val="00913ED5"/>
    <w:rsid w:val="0091448B"/>
    <w:rsid w:val="00915D13"/>
    <w:rsid w:val="00915FFD"/>
    <w:rsid w:val="0091612D"/>
    <w:rsid w:val="009201E0"/>
    <w:rsid w:val="00920E54"/>
    <w:rsid w:val="00922D6C"/>
    <w:rsid w:val="0092308D"/>
    <w:rsid w:val="00923EEB"/>
    <w:rsid w:val="009270F7"/>
    <w:rsid w:val="00931FDF"/>
    <w:rsid w:val="00934920"/>
    <w:rsid w:val="00936DED"/>
    <w:rsid w:val="009404E4"/>
    <w:rsid w:val="0094513D"/>
    <w:rsid w:val="00946F9E"/>
    <w:rsid w:val="00950389"/>
    <w:rsid w:val="0095306A"/>
    <w:rsid w:val="00956C06"/>
    <w:rsid w:val="00961CA2"/>
    <w:rsid w:val="00962664"/>
    <w:rsid w:val="009628CD"/>
    <w:rsid w:val="00963520"/>
    <w:rsid w:val="00966915"/>
    <w:rsid w:val="00967833"/>
    <w:rsid w:val="0098429F"/>
    <w:rsid w:val="00984664"/>
    <w:rsid w:val="00985357"/>
    <w:rsid w:val="00985F8F"/>
    <w:rsid w:val="00987D17"/>
    <w:rsid w:val="0099071C"/>
    <w:rsid w:val="00991237"/>
    <w:rsid w:val="009920EE"/>
    <w:rsid w:val="00994C36"/>
    <w:rsid w:val="009977FF"/>
    <w:rsid w:val="00997DF1"/>
    <w:rsid w:val="009B0BAC"/>
    <w:rsid w:val="009B30D2"/>
    <w:rsid w:val="009B41AD"/>
    <w:rsid w:val="009B6723"/>
    <w:rsid w:val="009C2FC5"/>
    <w:rsid w:val="009C5E4F"/>
    <w:rsid w:val="009C6B7B"/>
    <w:rsid w:val="009C74B9"/>
    <w:rsid w:val="009D45C3"/>
    <w:rsid w:val="009D490E"/>
    <w:rsid w:val="009D69AB"/>
    <w:rsid w:val="009E0A12"/>
    <w:rsid w:val="009E1A89"/>
    <w:rsid w:val="009E633D"/>
    <w:rsid w:val="009E721C"/>
    <w:rsid w:val="009F0A85"/>
    <w:rsid w:val="009F0D2F"/>
    <w:rsid w:val="009F10DF"/>
    <w:rsid w:val="009F12A2"/>
    <w:rsid w:val="009F3610"/>
    <w:rsid w:val="009F3E6C"/>
    <w:rsid w:val="009F433E"/>
    <w:rsid w:val="009F56EA"/>
    <w:rsid w:val="009F5CAA"/>
    <w:rsid w:val="009F5CFC"/>
    <w:rsid w:val="009F6403"/>
    <w:rsid w:val="009F67C9"/>
    <w:rsid w:val="009F7BC9"/>
    <w:rsid w:val="00A04B6B"/>
    <w:rsid w:val="00A05FC3"/>
    <w:rsid w:val="00A07AAD"/>
    <w:rsid w:val="00A11F25"/>
    <w:rsid w:val="00A138AB"/>
    <w:rsid w:val="00A13AAA"/>
    <w:rsid w:val="00A14547"/>
    <w:rsid w:val="00A1555A"/>
    <w:rsid w:val="00A20481"/>
    <w:rsid w:val="00A23B98"/>
    <w:rsid w:val="00A31032"/>
    <w:rsid w:val="00A33DBA"/>
    <w:rsid w:val="00A347D4"/>
    <w:rsid w:val="00A34929"/>
    <w:rsid w:val="00A35880"/>
    <w:rsid w:val="00A37466"/>
    <w:rsid w:val="00A40DA9"/>
    <w:rsid w:val="00A4162C"/>
    <w:rsid w:val="00A43C4E"/>
    <w:rsid w:val="00A442BD"/>
    <w:rsid w:val="00A50335"/>
    <w:rsid w:val="00A54ECE"/>
    <w:rsid w:val="00A556DF"/>
    <w:rsid w:val="00A55BE9"/>
    <w:rsid w:val="00A57DD3"/>
    <w:rsid w:val="00A603B8"/>
    <w:rsid w:val="00A61744"/>
    <w:rsid w:val="00A62C42"/>
    <w:rsid w:val="00A66711"/>
    <w:rsid w:val="00A73219"/>
    <w:rsid w:val="00A742AA"/>
    <w:rsid w:val="00A77746"/>
    <w:rsid w:val="00A83359"/>
    <w:rsid w:val="00A83E27"/>
    <w:rsid w:val="00A84CF4"/>
    <w:rsid w:val="00A912B9"/>
    <w:rsid w:val="00A9422C"/>
    <w:rsid w:val="00AA0B33"/>
    <w:rsid w:val="00AA0E09"/>
    <w:rsid w:val="00AA40B7"/>
    <w:rsid w:val="00AB1D88"/>
    <w:rsid w:val="00AB307A"/>
    <w:rsid w:val="00AC0A94"/>
    <w:rsid w:val="00AC2003"/>
    <w:rsid w:val="00AC25C7"/>
    <w:rsid w:val="00AC3A9F"/>
    <w:rsid w:val="00AC5E73"/>
    <w:rsid w:val="00AC71B1"/>
    <w:rsid w:val="00AD2FAF"/>
    <w:rsid w:val="00AD46CE"/>
    <w:rsid w:val="00AD794C"/>
    <w:rsid w:val="00AE2A35"/>
    <w:rsid w:val="00AE3E3D"/>
    <w:rsid w:val="00AE6FF7"/>
    <w:rsid w:val="00AF016B"/>
    <w:rsid w:val="00AF033C"/>
    <w:rsid w:val="00B01B58"/>
    <w:rsid w:val="00B044B9"/>
    <w:rsid w:val="00B059C5"/>
    <w:rsid w:val="00B06AF6"/>
    <w:rsid w:val="00B07D34"/>
    <w:rsid w:val="00B10A9D"/>
    <w:rsid w:val="00B10D16"/>
    <w:rsid w:val="00B12604"/>
    <w:rsid w:val="00B20D13"/>
    <w:rsid w:val="00B23A7F"/>
    <w:rsid w:val="00B30075"/>
    <w:rsid w:val="00B317B3"/>
    <w:rsid w:val="00B3233A"/>
    <w:rsid w:val="00B323AA"/>
    <w:rsid w:val="00B41928"/>
    <w:rsid w:val="00B46308"/>
    <w:rsid w:val="00B50FDB"/>
    <w:rsid w:val="00B5319F"/>
    <w:rsid w:val="00B53C0C"/>
    <w:rsid w:val="00B54E11"/>
    <w:rsid w:val="00B55A42"/>
    <w:rsid w:val="00B5762C"/>
    <w:rsid w:val="00B601A7"/>
    <w:rsid w:val="00B60CC8"/>
    <w:rsid w:val="00B60E10"/>
    <w:rsid w:val="00B618D0"/>
    <w:rsid w:val="00B62C4D"/>
    <w:rsid w:val="00B631FE"/>
    <w:rsid w:val="00B64D90"/>
    <w:rsid w:val="00B66B65"/>
    <w:rsid w:val="00B66FAA"/>
    <w:rsid w:val="00B71895"/>
    <w:rsid w:val="00B71EB6"/>
    <w:rsid w:val="00B73EF9"/>
    <w:rsid w:val="00B7748C"/>
    <w:rsid w:val="00B80B24"/>
    <w:rsid w:val="00BA1028"/>
    <w:rsid w:val="00BA1394"/>
    <w:rsid w:val="00BB50B0"/>
    <w:rsid w:val="00BB5371"/>
    <w:rsid w:val="00BB61BD"/>
    <w:rsid w:val="00BB62EF"/>
    <w:rsid w:val="00BC413B"/>
    <w:rsid w:val="00BC5B8D"/>
    <w:rsid w:val="00BD3D69"/>
    <w:rsid w:val="00BD5293"/>
    <w:rsid w:val="00BD63B9"/>
    <w:rsid w:val="00BE11C3"/>
    <w:rsid w:val="00BE29D9"/>
    <w:rsid w:val="00BE41F3"/>
    <w:rsid w:val="00BE5F5A"/>
    <w:rsid w:val="00BE7143"/>
    <w:rsid w:val="00BE7C3F"/>
    <w:rsid w:val="00BF2F60"/>
    <w:rsid w:val="00BF43AE"/>
    <w:rsid w:val="00BF4F0B"/>
    <w:rsid w:val="00BF58E0"/>
    <w:rsid w:val="00BF7967"/>
    <w:rsid w:val="00C02F91"/>
    <w:rsid w:val="00C03C36"/>
    <w:rsid w:val="00C07448"/>
    <w:rsid w:val="00C127A9"/>
    <w:rsid w:val="00C227AF"/>
    <w:rsid w:val="00C24729"/>
    <w:rsid w:val="00C24DAE"/>
    <w:rsid w:val="00C25B76"/>
    <w:rsid w:val="00C25BC0"/>
    <w:rsid w:val="00C26C18"/>
    <w:rsid w:val="00C305AE"/>
    <w:rsid w:val="00C35B83"/>
    <w:rsid w:val="00C36600"/>
    <w:rsid w:val="00C426C0"/>
    <w:rsid w:val="00C44AF7"/>
    <w:rsid w:val="00C45638"/>
    <w:rsid w:val="00C4723C"/>
    <w:rsid w:val="00C4762C"/>
    <w:rsid w:val="00C60321"/>
    <w:rsid w:val="00C6275E"/>
    <w:rsid w:val="00C658E1"/>
    <w:rsid w:val="00C67BEC"/>
    <w:rsid w:val="00C733BC"/>
    <w:rsid w:val="00C739BE"/>
    <w:rsid w:val="00C74EDF"/>
    <w:rsid w:val="00C763DF"/>
    <w:rsid w:val="00C76455"/>
    <w:rsid w:val="00C77F32"/>
    <w:rsid w:val="00C8123F"/>
    <w:rsid w:val="00C827CD"/>
    <w:rsid w:val="00C861EE"/>
    <w:rsid w:val="00C90C92"/>
    <w:rsid w:val="00C9113D"/>
    <w:rsid w:val="00C93D5B"/>
    <w:rsid w:val="00C93F4E"/>
    <w:rsid w:val="00C95BB9"/>
    <w:rsid w:val="00C97FA0"/>
    <w:rsid w:val="00CA3AEE"/>
    <w:rsid w:val="00CB183F"/>
    <w:rsid w:val="00CB301A"/>
    <w:rsid w:val="00CB3606"/>
    <w:rsid w:val="00CB61AC"/>
    <w:rsid w:val="00CB7FEB"/>
    <w:rsid w:val="00CC00CF"/>
    <w:rsid w:val="00CC228E"/>
    <w:rsid w:val="00CC2B10"/>
    <w:rsid w:val="00CC4263"/>
    <w:rsid w:val="00CC57E9"/>
    <w:rsid w:val="00CC5EEB"/>
    <w:rsid w:val="00CC6FEE"/>
    <w:rsid w:val="00CE2AE9"/>
    <w:rsid w:val="00CE4B10"/>
    <w:rsid w:val="00CE50C8"/>
    <w:rsid w:val="00CE578F"/>
    <w:rsid w:val="00CE67A0"/>
    <w:rsid w:val="00CF1DCB"/>
    <w:rsid w:val="00CF4725"/>
    <w:rsid w:val="00CF6FCF"/>
    <w:rsid w:val="00D01AD6"/>
    <w:rsid w:val="00D02543"/>
    <w:rsid w:val="00D05ED1"/>
    <w:rsid w:val="00D1620A"/>
    <w:rsid w:val="00D22B57"/>
    <w:rsid w:val="00D24017"/>
    <w:rsid w:val="00D25A43"/>
    <w:rsid w:val="00D27C06"/>
    <w:rsid w:val="00D32385"/>
    <w:rsid w:val="00D32E6F"/>
    <w:rsid w:val="00D4193B"/>
    <w:rsid w:val="00D439D1"/>
    <w:rsid w:val="00D4616C"/>
    <w:rsid w:val="00D46865"/>
    <w:rsid w:val="00D46AC4"/>
    <w:rsid w:val="00D46BD8"/>
    <w:rsid w:val="00D54641"/>
    <w:rsid w:val="00D55188"/>
    <w:rsid w:val="00D56F3C"/>
    <w:rsid w:val="00D604C6"/>
    <w:rsid w:val="00D610DB"/>
    <w:rsid w:val="00D616A1"/>
    <w:rsid w:val="00D61B23"/>
    <w:rsid w:val="00D63708"/>
    <w:rsid w:val="00D64A93"/>
    <w:rsid w:val="00D65309"/>
    <w:rsid w:val="00D6595D"/>
    <w:rsid w:val="00D71437"/>
    <w:rsid w:val="00D7209B"/>
    <w:rsid w:val="00D739CE"/>
    <w:rsid w:val="00D76997"/>
    <w:rsid w:val="00D76E4B"/>
    <w:rsid w:val="00D847BB"/>
    <w:rsid w:val="00D8492D"/>
    <w:rsid w:val="00D85B12"/>
    <w:rsid w:val="00D85BBB"/>
    <w:rsid w:val="00D87B22"/>
    <w:rsid w:val="00D87D31"/>
    <w:rsid w:val="00D9276B"/>
    <w:rsid w:val="00D93EE7"/>
    <w:rsid w:val="00DA00CB"/>
    <w:rsid w:val="00DA3618"/>
    <w:rsid w:val="00DA50EB"/>
    <w:rsid w:val="00DA5779"/>
    <w:rsid w:val="00DB039C"/>
    <w:rsid w:val="00DB114E"/>
    <w:rsid w:val="00DB1724"/>
    <w:rsid w:val="00DB24B0"/>
    <w:rsid w:val="00DB370A"/>
    <w:rsid w:val="00DB669F"/>
    <w:rsid w:val="00DD0786"/>
    <w:rsid w:val="00DD24B4"/>
    <w:rsid w:val="00DD3B87"/>
    <w:rsid w:val="00DD3D27"/>
    <w:rsid w:val="00DD3DB5"/>
    <w:rsid w:val="00DD64EA"/>
    <w:rsid w:val="00DE1668"/>
    <w:rsid w:val="00DE2CDF"/>
    <w:rsid w:val="00DE4BF4"/>
    <w:rsid w:val="00DF0317"/>
    <w:rsid w:val="00DF1DBC"/>
    <w:rsid w:val="00DF35C6"/>
    <w:rsid w:val="00DF45DC"/>
    <w:rsid w:val="00DF6B60"/>
    <w:rsid w:val="00DF7906"/>
    <w:rsid w:val="00E079CF"/>
    <w:rsid w:val="00E11364"/>
    <w:rsid w:val="00E11773"/>
    <w:rsid w:val="00E13BAC"/>
    <w:rsid w:val="00E2123D"/>
    <w:rsid w:val="00E22A42"/>
    <w:rsid w:val="00E23B0C"/>
    <w:rsid w:val="00E2449C"/>
    <w:rsid w:val="00E270F9"/>
    <w:rsid w:val="00E27212"/>
    <w:rsid w:val="00E30016"/>
    <w:rsid w:val="00E3030B"/>
    <w:rsid w:val="00E30DE1"/>
    <w:rsid w:val="00E35FCA"/>
    <w:rsid w:val="00E36315"/>
    <w:rsid w:val="00E36D07"/>
    <w:rsid w:val="00E379F5"/>
    <w:rsid w:val="00E412B5"/>
    <w:rsid w:val="00E47122"/>
    <w:rsid w:val="00E526EB"/>
    <w:rsid w:val="00E53C13"/>
    <w:rsid w:val="00E613DD"/>
    <w:rsid w:val="00E6216F"/>
    <w:rsid w:val="00E63C91"/>
    <w:rsid w:val="00E6699E"/>
    <w:rsid w:val="00E67AF9"/>
    <w:rsid w:val="00E67F43"/>
    <w:rsid w:val="00E72361"/>
    <w:rsid w:val="00E737D7"/>
    <w:rsid w:val="00E739C7"/>
    <w:rsid w:val="00E7445B"/>
    <w:rsid w:val="00E75FD3"/>
    <w:rsid w:val="00E93E4D"/>
    <w:rsid w:val="00EA0662"/>
    <w:rsid w:val="00EA1427"/>
    <w:rsid w:val="00EA2F75"/>
    <w:rsid w:val="00EA64AC"/>
    <w:rsid w:val="00EA6E65"/>
    <w:rsid w:val="00EA7C61"/>
    <w:rsid w:val="00EB2775"/>
    <w:rsid w:val="00EB3620"/>
    <w:rsid w:val="00EB5E3A"/>
    <w:rsid w:val="00EB7CD6"/>
    <w:rsid w:val="00EC3A18"/>
    <w:rsid w:val="00EC4ED3"/>
    <w:rsid w:val="00EC4FB2"/>
    <w:rsid w:val="00EC65CF"/>
    <w:rsid w:val="00ED4A71"/>
    <w:rsid w:val="00EE00B4"/>
    <w:rsid w:val="00EE1E74"/>
    <w:rsid w:val="00EE404C"/>
    <w:rsid w:val="00EE7AEF"/>
    <w:rsid w:val="00EF3EBD"/>
    <w:rsid w:val="00F009F5"/>
    <w:rsid w:val="00F0290A"/>
    <w:rsid w:val="00F05219"/>
    <w:rsid w:val="00F07414"/>
    <w:rsid w:val="00F0761F"/>
    <w:rsid w:val="00F10267"/>
    <w:rsid w:val="00F121BD"/>
    <w:rsid w:val="00F14F48"/>
    <w:rsid w:val="00F178C0"/>
    <w:rsid w:val="00F17E4A"/>
    <w:rsid w:val="00F23D15"/>
    <w:rsid w:val="00F24C6E"/>
    <w:rsid w:val="00F26C2D"/>
    <w:rsid w:val="00F30164"/>
    <w:rsid w:val="00F32525"/>
    <w:rsid w:val="00F354AD"/>
    <w:rsid w:val="00F36DD8"/>
    <w:rsid w:val="00F40A13"/>
    <w:rsid w:val="00F4172D"/>
    <w:rsid w:val="00F4198D"/>
    <w:rsid w:val="00F429E0"/>
    <w:rsid w:val="00F43A74"/>
    <w:rsid w:val="00F50AA4"/>
    <w:rsid w:val="00F53603"/>
    <w:rsid w:val="00F537BA"/>
    <w:rsid w:val="00F53A0F"/>
    <w:rsid w:val="00F53A4C"/>
    <w:rsid w:val="00F575FA"/>
    <w:rsid w:val="00F604A1"/>
    <w:rsid w:val="00F650B2"/>
    <w:rsid w:val="00F81991"/>
    <w:rsid w:val="00F81BE3"/>
    <w:rsid w:val="00F85D02"/>
    <w:rsid w:val="00F85F43"/>
    <w:rsid w:val="00F90EE6"/>
    <w:rsid w:val="00F92A7C"/>
    <w:rsid w:val="00F92F73"/>
    <w:rsid w:val="00F937CD"/>
    <w:rsid w:val="00F9634B"/>
    <w:rsid w:val="00FA1649"/>
    <w:rsid w:val="00FA2CF8"/>
    <w:rsid w:val="00FA4B11"/>
    <w:rsid w:val="00FA75A9"/>
    <w:rsid w:val="00FB1AA2"/>
    <w:rsid w:val="00FB1F2A"/>
    <w:rsid w:val="00FB7F84"/>
    <w:rsid w:val="00FC46DA"/>
    <w:rsid w:val="00FC706D"/>
    <w:rsid w:val="00FC74A2"/>
    <w:rsid w:val="00FD3CB6"/>
    <w:rsid w:val="00FD5697"/>
    <w:rsid w:val="00FD63F6"/>
    <w:rsid w:val="00FE0963"/>
    <w:rsid w:val="00FE7687"/>
    <w:rsid w:val="00FF150B"/>
    <w:rsid w:val="00FF30F7"/>
    <w:rsid w:val="00FF3BAF"/>
    <w:rsid w:val="00FF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98E675B"/>
  <w15:docId w15:val="{5CB0685D-6420-44EB-ADBC-D95FBD0C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rsid w:val="001F1D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F1DA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F1DA4"/>
    <w:pPr>
      <w:keepNext/>
      <w:spacing w:before="240" w:after="60"/>
      <w:outlineLvl w:val="2"/>
    </w:pPr>
    <w:rPr>
      <w:rFonts w:ascii="Arial" w:hAnsi="Arial" w:cs="Arial"/>
      <w:b/>
      <w:bCs/>
      <w:sz w:val="26"/>
      <w:szCs w:val="26"/>
    </w:rPr>
  </w:style>
  <w:style w:type="paragraph" w:styleId="Heading4">
    <w:name w:val="heading 4"/>
    <w:basedOn w:val="Normal"/>
    <w:next w:val="Normal"/>
    <w:qFormat/>
    <w:rsid w:val="001F1DA4"/>
    <w:pPr>
      <w:keepNext/>
      <w:spacing w:before="240" w:after="60"/>
      <w:outlineLvl w:val="3"/>
    </w:pPr>
    <w:rPr>
      <w:b/>
      <w:bCs/>
      <w:sz w:val="28"/>
      <w:szCs w:val="28"/>
    </w:rPr>
  </w:style>
  <w:style w:type="paragraph" w:styleId="Heading5">
    <w:name w:val="heading 5"/>
    <w:basedOn w:val="Normal"/>
    <w:next w:val="Normal"/>
    <w:qFormat/>
    <w:rsid w:val="00B71EB6"/>
    <w:pPr>
      <w:keepNext/>
      <w:jc w:val="center"/>
      <w:outlineLvl w:val="4"/>
    </w:pPr>
    <w:rPr>
      <w:rFonts w:ascii="Arial Rounded MT Bold" w:eastAsia="Times New Roman" w:hAnsi="Arial Rounded MT Bold"/>
      <w:sz w:val="72"/>
      <w:szCs w:val="20"/>
    </w:rPr>
  </w:style>
  <w:style w:type="paragraph" w:styleId="Heading6">
    <w:name w:val="heading 6"/>
    <w:basedOn w:val="Normal"/>
    <w:next w:val="Normal"/>
    <w:qFormat/>
    <w:rsid w:val="00B71EB6"/>
    <w:pPr>
      <w:keepNext/>
      <w:jc w:val="center"/>
      <w:outlineLvl w:val="5"/>
    </w:pPr>
    <w:rPr>
      <w:rFonts w:eastAsia="Times New Roman"/>
      <w:b/>
      <w:i/>
      <w:sz w:val="20"/>
      <w:szCs w:val="20"/>
    </w:rPr>
  </w:style>
  <w:style w:type="paragraph" w:styleId="Heading7">
    <w:name w:val="heading 7"/>
    <w:basedOn w:val="Normal"/>
    <w:next w:val="Normal"/>
    <w:qFormat/>
    <w:rsid w:val="00B71EB6"/>
    <w:pPr>
      <w:keepNext/>
      <w:jc w:val="center"/>
      <w:outlineLvl w:val="6"/>
    </w:pPr>
    <w:rPr>
      <w:rFonts w:eastAsia="Times New Roman"/>
      <w:b/>
      <w:sz w:val="20"/>
      <w:szCs w:val="20"/>
    </w:rPr>
  </w:style>
  <w:style w:type="paragraph" w:styleId="Heading8">
    <w:name w:val="heading 8"/>
    <w:basedOn w:val="Normal"/>
    <w:next w:val="Normal"/>
    <w:qFormat/>
    <w:rsid w:val="00896248"/>
    <w:pPr>
      <w:keepNext/>
      <w:tabs>
        <w:tab w:val="left" w:pos="990"/>
        <w:tab w:val="right" w:leader="dot" w:pos="7110"/>
      </w:tabs>
      <w:jc w:val="center"/>
      <w:outlineLvl w:val="7"/>
    </w:pPr>
    <w:rPr>
      <w:rFonts w:eastAsia="Times New Roman"/>
      <w:b/>
      <w:sz w:val="28"/>
      <w:szCs w:val="20"/>
    </w:rPr>
  </w:style>
  <w:style w:type="paragraph" w:styleId="Heading9">
    <w:name w:val="heading 9"/>
    <w:basedOn w:val="Normal"/>
    <w:next w:val="Normal"/>
    <w:qFormat/>
    <w:rsid w:val="00C763DF"/>
    <w:pPr>
      <w:keepNext/>
      <w:tabs>
        <w:tab w:val="left" w:pos="720"/>
        <w:tab w:val="center" w:pos="5310"/>
        <w:tab w:val="center" w:pos="6840"/>
      </w:tabs>
      <w:ind w:left="720"/>
      <w:outlineLvl w:val="8"/>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71EB6"/>
    <w:pPr>
      <w:tabs>
        <w:tab w:val="center" w:pos="4320"/>
        <w:tab w:val="right" w:pos="8640"/>
      </w:tabs>
    </w:pPr>
    <w:rPr>
      <w:rFonts w:eastAsia="Times New Roman"/>
      <w:sz w:val="20"/>
      <w:szCs w:val="20"/>
    </w:rPr>
  </w:style>
  <w:style w:type="paragraph" w:styleId="Header">
    <w:name w:val="header"/>
    <w:basedOn w:val="Normal"/>
    <w:rsid w:val="00E6699E"/>
    <w:pPr>
      <w:tabs>
        <w:tab w:val="center" w:pos="4320"/>
        <w:tab w:val="right" w:pos="8640"/>
      </w:tabs>
    </w:pPr>
  </w:style>
  <w:style w:type="character" w:styleId="PageNumber">
    <w:name w:val="page number"/>
    <w:basedOn w:val="DefaultParagraphFont"/>
    <w:rsid w:val="00E6699E"/>
  </w:style>
  <w:style w:type="paragraph" w:styleId="BodyTextIndent">
    <w:name w:val="Body Text Indent"/>
    <w:basedOn w:val="Normal"/>
    <w:rsid w:val="00896248"/>
    <w:pPr>
      <w:tabs>
        <w:tab w:val="left" w:pos="990"/>
        <w:tab w:val="right" w:leader="dot" w:pos="7110"/>
      </w:tabs>
      <w:ind w:left="720"/>
    </w:pPr>
    <w:rPr>
      <w:rFonts w:eastAsia="Times New Roman"/>
      <w:szCs w:val="20"/>
    </w:rPr>
  </w:style>
  <w:style w:type="paragraph" w:styleId="BodyText">
    <w:name w:val="Body Text"/>
    <w:basedOn w:val="Normal"/>
    <w:rsid w:val="00896248"/>
    <w:pPr>
      <w:tabs>
        <w:tab w:val="left" w:pos="990"/>
        <w:tab w:val="right" w:leader="dot" w:pos="7110"/>
      </w:tabs>
    </w:pPr>
    <w:rPr>
      <w:rFonts w:eastAsia="Times New Roman"/>
      <w:sz w:val="16"/>
      <w:szCs w:val="20"/>
    </w:rPr>
  </w:style>
  <w:style w:type="paragraph" w:styleId="BodyText2">
    <w:name w:val="Body Text 2"/>
    <w:basedOn w:val="Normal"/>
    <w:rsid w:val="00896248"/>
    <w:rPr>
      <w:rFonts w:eastAsia="Times New Roman"/>
      <w:szCs w:val="20"/>
    </w:rPr>
  </w:style>
  <w:style w:type="paragraph" w:styleId="Title">
    <w:name w:val="Title"/>
    <w:basedOn w:val="Normal"/>
    <w:qFormat/>
    <w:rsid w:val="00896248"/>
    <w:pPr>
      <w:jc w:val="center"/>
    </w:pPr>
    <w:rPr>
      <w:rFonts w:eastAsia="Times New Roman"/>
      <w:b/>
      <w:szCs w:val="20"/>
    </w:rPr>
  </w:style>
  <w:style w:type="character" w:styleId="Hyperlink">
    <w:name w:val="Hyperlink"/>
    <w:rsid w:val="00C763DF"/>
    <w:rPr>
      <w:color w:val="0000FF"/>
      <w:u w:val="single"/>
    </w:rPr>
  </w:style>
  <w:style w:type="paragraph" w:styleId="BodyTextIndent2">
    <w:name w:val="Body Text Indent 2"/>
    <w:basedOn w:val="Normal"/>
    <w:rsid w:val="00C763DF"/>
    <w:pPr>
      <w:tabs>
        <w:tab w:val="left" w:pos="990"/>
        <w:tab w:val="right" w:leader="dot" w:pos="7110"/>
      </w:tabs>
      <w:ind w:left="720"/>
    </w:pPr>
    <w:rPr>
      <w:rFonts w:eastAsia="Times New Roman"/>
      <w:i/>
      <w:szCs w:val="20"/>
    </w:rPr>
  </w:style>
  <w:style w:type="paragraph" w:styleId="BodyTextIndent3">
    <w:name w:val="Body Text Indent 3"/>
    <w:basedOn w:val="Normal"/>
    <w:rsid w:val="00C76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pPr>
    <w:rPr>
      <w:rFonts w:eastAsia="Times New Roman"/>
      <w:color w:val="000000"/>
      <w:szCs w:val="20"/>
    </w:rPr>
  </w:style>
  <w:style w:type="paragraph" w:styleId="BodyText3">
    <w:name w:val="Body Text 3"/>
    <w:basedOn w:val="Normal"/>
    <w:rsid w:val="00C76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Pr>
      <w:rFonts w:eastAsia="Times New Roman"/>
      <w:color w:val="000000"/>
      <w:szCs w:val="20"/>
    </w:rPr>
  </w:style>
  <w:style w:type="paragraph" w:styleId="BalloonText">
    <w:name w:val="Balloon Text"/>
    <w:basedOn w:val="Normal"/>
    <w:semiHidden/>
    <w:rsid w:val="00C763DF"/>
    <w:rPr>
      <w:rFonts w:ascii="Tahoma" w:eastAsia="Times New Roman" w:hAnsi="Tahoma" w:cs="Tahoma"/>
      <w:sz w:val="16"/>
      <w:szCs w:val="16"/>
    </w:rPr>
  </w:style>
  <w:style w:type="character" w:styleId="CommentReference">
    <w:name w:val="annotation reference"/>
    <w:rsid w:val="007B3D13"/>
    <w:rPr>
      <w:sz w:val="16"/>
      <w:szCs w:val="16"/>
    </w:rPr>
  </w:style>
  <w:style w:type="paragraph" w:styleId="CommentText">
    <w:name w:val="annotation text"/>
    <w:basedOn w:val="Normal"/>
    <w:link w:val="CommentTextChar"/>
    <w:rsid w:val="007B3D13"/>
    <w:rPr>
      <w:sz w:val="20"/>
      <w:szCs w:val="20"/>
      <w:lang w:val="x-none"/>
    </w:rPr>
  </w:style>
  <w:style w:type="character" w:customStyle="1" w:styleId="CommentTextChar">
    <w:name w:val="Comment Text Char"/>
    <w:link w:val="CommentText"/>
    <w:rsid w:val="007B3D13"/>
    <w:rPr>
      <w:lang w:eastAsia="zh-CN"/>
    </w:rPr>
  </w:style>
  <w:style w:type="paragraph" w:styleId="CommentSubject">
    <w:name w:val="annotation subject"/>
    <w:basedOn w:val="CommentText"/>
    <w:next w:val="CommentText"/>
    <w:link w:val="CommentSubjectChar"/>
    <w:rsid w:val="007B3D13"/>
    <w:rPr>
      <w:b/>
      <w:bCs/>
    </w:rPr>
  </w:style>
  <w:style w:type="character" w:customStyle="1" w:styleId="CommentSubjectChar">
    <w:name w:val="Comment Subject Char"/>
    <w:link w:val="CommentSubject"/>
    <w:rsid w:val="007B3D13"/>
    <w:rPr>
      <w:b/>
      <w:bCs/>
      <w:lang w:eastAsia="zh-CN"/>
    </w:rPr>
  </w:style>
  <w:style w:type="paragraph" w:styleId="Revision">
    <w:name w:val="Revision"/>
    <w:hidden/>
    <w:uiPriority w:val="99"/>
    <w:semiHidden/>
    <w:rsid w:val="007B3D13"/>
    <w:rPr>
      <w:sz w:val="24"/>
      <w:szCs w:val="24"/>
      <w:lang w:eastAsia="zh-CN"/>
    </w:rPr>
  </w:style>
  <w:style w:type="paragraph" w:styleId="ListParagraph">
    <w:name w:val="List Paragraph"/>
    <w:basedOn w:val="Normal"/>
    <w:uiPriority w:val="34"/>
    <w:qFormat/>
    <w:rsid w:val="007B3D13"/>
    <w:pPr>
      <w:ind w:left="720"/>
    </w:pPr>
  </w:style>
  <w:style w:type="character" w:customStyle="1" w:styleId="FooterChar">
    <w:name w:val="Footer Char"/>
    <w:link w:val="Footer"/>
    <w:uiPriority w:val="99"/>
    <w:rsid w:val="007261EC"/>
    <w:rPr>
      <w:rFonts w:eastAsia="Times New Roman"/>
      <w:lang w:eastAsia="zh-CN"/>
    </w:rPr>
  </w:style>
  <w:style w:type="character" w:customStyle="1" w:styleId="apple-converted-space">
    <w:name w:val="apple-converted-space"/>
    <w:rsid w:val="00F937CD"/>
  </w:style>
  <w:style w:type="paragraph" w:styleId="NormalWeb">
    <w:name w:val="Normal (Web)"/>
    <w:basedOn w:val="Normal"/>
    <w:uiPriority w:val="99"/>
    <w:semiHidden/>
    <w:unhideWhenUsed/>
    <w:rsid w:val="00F937CD"/>
    <w:pPr>
      <w:spacing w:before="100" w:beforeAutospacing="1" w:after="100" w:afterAutospacing="1"/>
    </w:pPr>
    <w:rPr>
      <w:rFonts w:eastAsia="Times New Roman"/>
      <w:lang w:eastAsia="en-US"/>
    </w:rPr>
  </w:style>
  <w:style w:type="character" w:styleId="Emphasis">
    <w:name w:val="Emphasis"/>
    <w:uiPriority w:val="20"/>
    <w:qFormat/>
    <w:rsid w:val="00C93D5B"/>
    <w:rPr>
      <w:i/>
      <w:iCs/>
    </w:rPr>
  </w:style>
  <w:style w:type="character" w:styleId="Strong">
    <w:name w:val="Strong"/>
    <w:uiPriority w:val="22"/>
    <w:qFormat/>
    <w:rsid w:val="003B782A"/>
    <w:rPr>
      <w:b/>
      <w:bCs/>
    </w:rPr>
  </w:style>
  <w:style w:type="paragraph" w:customStyle="1" w:styleId="NormalText">
    <w:name w:val="Normal Text"/>
    <w:rsid w:val="001A300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68680">
      <w:bodyDiv w:val="1"/>
      <w:marLeft w:val="0"/>
      <w:marRight w:val="0"/>
      <w:marTop w:val="0"/>
      <w:marBottom w:val="0"/>
      <w:divBdr>
        <w:top w:val="none" w:sz="0" w:space="0" w:color="auto"/>
        <w:left w:val="none" w:sz="0" w:space="0" w:color="auto"/>
        <w:bottom w:val="none" w:sz="0" w:space="0" w:color="auto"/>
        <w:right w:val="none" w:sz="0" w:space="0" w:color="auto"/>
      </w:divBdr>
    </w:div>
    <w:div w:id="264700120">
      <w:bodyDiv w:val="1"/>
      <w:marLeft w:val="0"/>
      <w:marRight w:val="0"/>
      <w:marTop w:val="0"/>
      <w:marBottom w:val="0"/>
      <w:divBdr>
        <w:top w:val="none" w:sz="0" w:space="0" w:color="auto"/>
        <w:left w:val="none" w:sz="0" w:space="0" w:color="auto"/>
        <w:bottom w:val="none" w:sz="0" w:space="0" w:color="auto"/>
        <w:right w:val="none" w:sz="0" w:space="0" w:color="auto"/>
      </w:divBdr>
    </w:div>
    <w:div w:id="316347606">
      <w:bodyDiv w:val="1"/>
      <w:marLeft w:val="0"/>
      <w:marRight w:val="0"/>
      <w:marTop w:val="0"/>
      <w:marBottom w:val="0"/>
      <w:divBdr>
        <w:top w:val="none" w:sz="0" w:space="0" w:color="auto"/>
        <w:left w:val="none" w:sz="0" w:space="0" w:color="auto"/>
        <w:bottom w:val="none" w:sz="0" w:space="0" w:color="auto"/>
        <w:right w:val="none" w:sz="0" w:space="0" w:color="auto"/>
      </w:divBdr>
    </w:div>
    <w:div w:id="569391759">
      <w:bodyDiv w:val="1"/>
      <w:marLeft w:val="0"/>
      <w:marRight w:val="0"/>
      <w:marTop w:val="0"/>
      <w:marBottom w:val="0"/>
      <w:divBdr>
        <w:top w:val="none" w:sz="0" w:space="0" w:color="auto"/>
        <w:left w:val="none" w:sz="0" w:space="0" w:color="auto"/>
        <w:bottom w:val="none" w:sz="0" w:space="0" w:color="auto"/>
        <w:right w:val="none" w:sz="0" w:space="0" w:color="auto"/>
      </w:divBdr>
    </w:div>
    <w:div w:id="759563919">
      <w:bodyDiv w:val="1"/>
      <w:marLeft w:val="0"/>
      <w:marRight w:val="0"/>
      <w:marTop w:val="0"/>
      <w:marBottom w:val="0"/>
      <w:divBdr>
        <w:top w:val="none" w:sz="0" w:space="0" w:color="auto"/>
        <w:left w:val="none" w:sz="0" w:space="0" w:color="auto"/>
        <w:bottom w:val="none" w:sz="0" w:space="0" w:color="auto"/>
        <w:right w:val="none" w:sz="0" w:space="0" w:color="auto"/>
      </w:divBdr>
    </w:div>
    <w:div w:id="815024029">
      <w:bodyDiv w:val="1"/>
      <w:marLeft w:val="0"/>
      <w:marRight w:val="0"/>
      <w:marTop w:val="0"/>
      <w:marBottom w:val="0"/>
      <w:divBdr>
        <w:top w:val="none" w:sz="0" w:space="0" w:color="auto"/>
        <w:left w:val="none" w:sz="0" w:space="0" w:color="auto"/>
        <w:bottom w:val="none" w:sz="0" w:space="0" w:color="auto"/>
        <w:right w:val="none" w:sz="0" w:space="0" w:color="auto"/>
      </w:divBdr>
      <w:divsChild>
        <w:div w:id="1061713540">
          <w:marLeft w:val="0"/>
          <w:marRight w:val="0"/>
          <w:marTop w:val="0"/>
          <w:marBottom w:val="0"/>
          <w:divBdr>
            <w:top w:val="none" w:sz="0" w:space="0" w:color="auto"/>
            <w:left w:val="none" w:sz="0" w:space="0" w:color="auto"/>
            <w:bottom w:val="none" w:sz="0" w:space="0" w:color="auto"/>
            <w:right w:val="none" w:sz="0" w:space="0" w:color="auto"/>
          </w:divBdr>
          <w:divsChild>
            <w:div w:id="1149052989">
              <w:marLeft w:val="0"/>
              <w:marRight w:val="0"/>
              <w:marTop w:val="150"/>
              <w:marBottom w:val="150"/>
              <w:divBdr>
                <w:top w:val="none" w:sz="0" w:space="0" w:color="auto"/>
                <w:left w:val="none" w:sz="0" w:space="0" w:color="auto"/>
                <w:bottom w:val="none" w:sz="0" w:space="0" w:color="auto"/>
                <w:right w:val="none" w:sz="0" w:space="0" w:color="auto"/>
              </w:divBdr>
            </w:div>
          </w:divsChild>
        </w:div>
        <w:div w:id="723673523">
          <w:marLeft w:val="0"/>
          <w:marRight w:val="0"/>
          <w:marTop w:val="0"/>
          <w:marBottom w:val="0"/>
          <w:divBdr>
            <w:top w:val="none" w:sz="0" w:space="0" w:color="auto"/>
            <w:left w:val="none" w:sz="0" w:space="0" w:color="auto"/>
            <w:bottom w:val="none" w:sz="0" w:space="0" w:color="auto"/>
            <w:right w:val="none" w:sz="0" w:space="0" w:color="auto"/>
          </w:divBdr>
          <w:divsChild>
            <w:div w:id="1632982300">
              <w:marLeft w:val="0"/>
              <w:marRight w:val="0"/>
              <w:marTop w:val="0"/>
              <w:marBottom w:val="0"/>
              <w:divBdr>
                <w:top w:val="none" w:sz="0" w:space="0" w:color="auto"/>
                <w:left w:val="none" w:sz="0" w:space="0" w:color="auto"/>
                <w:bottom w:val="none" w:sz="0" w:space="0" w:color="auto"/>
                <w:right w:val="none" w:sz="0" w:space="0" w:color="auto"/>
              </w:divBdr>
              <w:divsChild>
                <w:div w:id="1363944316">
                  <w:marLeft w:val="0"/>
                  <w:marRight w:val="0"/>
                  <w:marTop w:val="0"/>
                  <w:marBottom w:val="0"/>
                  <w:divBdr>
                    <w:top w:val="dotted" w:sz="6" w:space="0" w:color="808080"/>
                    <w:left w:val="none" w:sz="0" w:space="0" w:color="auto"/>
                    <w:bottom w:val="dotted" w:sz="6" w:space="0" w:color="808080"/>
                    <w:right w:val="none" w:sz="0" w:space="0" w:color="auto"/>
                  </w:divBdr>
                </w:div>
              </w:divsChild>
            </w:div>
          </w:divsChild>
        </w:div>
        <w:div w:id="1095975205">
          <w:marLeft w:val="0"/>
          <w:marRight w:val="0"/>
          <w:marTop w:val="0"/>
          <w:marBottom w:val="0"/>
          <w:divBdr>
            <w:top w:val="none" w:sz="0" w:space="0" w:color="auto"/>
            <w:left w:val="none" w:sz="0" w:space="0" w:color="auto"/>
            <w:bottom w:val="none" w:sz="0" w:space="0" w:color="auto"/>
            <w:right w:val="none" w:sz="0" w:space="0" w:color="auto"/>
          </w:divBdr>
          <w:divsChild>
            <w:div w:id="1084303228">
              <w:marLeft w:val="0"/>
              <w:marRight w:val="0"/>
              <w:marTop w:val="225"/>
              <w:marBottom w:val="150"/>
              <w:divBdr>
                <w:top w:val="none" w:sz="0" w:space="0" w:color="auto"/>
                <w:left w:val="none" w:sz="0" w:space="0" w:color="auto"/>
                <w:bottom w:val="none" w:sz="0" w:space="0" w:color="auto"/>
                <w:right w:val="none" w:sz="0" w:space="0" w:color="auto"/>
              </w:divBdr>
            </w:div>
            <w:div w:id="77750691">
              <w:marLeft w:val="0"/>
              <w:marRight w:val="0"/>
              <w:marTop w:val="0"/>
              <w:marBottom w:val="0"/>
              <w:divBdr>
                <w:top w:val="none" w:sz="0" w:space="0" w:color="auto"/>
                <w:left w:val="none" w:sz="0" w:space="0" w:color="auto"/>
                <w:bottom w:val="none" w:sz="0" w:space="0" w:color="auto"/>
                <w:right w:val="none" w:sz="0" w:space="0" w:color="auto"/>
              </w:divBdr>
              <w:divsChild>
                <w:div w:id="1170875942">
                  <w:marLeft w:val="0"/>
                  <w:marRight w:val="0"/>
                  <w:marTop w:val="0"/>
                  <w:marBottom w:val="0"/>
                  <w:divBdr>
                    <w:top w:val="dotted" w:sz="6" w:space="0" w:color="808080"/>
                    <w:left w:val="none" w:sz="0" w:space="0" w:color="auto"/>
                    <w:bottom w:val="dotted" w:sz="6" w:space="0" w:color="808080"/>
                    <w:right w:val="none" w:sz="0" w:space="0" w:color="auto"/>
                  </w:divBdr>
                </w:div>
              </w:divsChild>
            </w:div>
          </w:divsChild>
        </w:div>
        <w:div w:id="384528960">
          <w:marLeft w:val="0"/>
          <w:marRight w:val="0"/>
          <w:marTop w:val="0"/>
          <w:marBottom w:val="0"/>
          <w:divBdr>
            <w:top w:val="none" w:sz="0" w:space="0" w:color="auto"/>
            <w:left w:val="none" w:sz="0" w:space="0" w:color="auto"/>
            <w:bottom w:val="none" w:sz="0" w:space="0" w:color="auto"/>
            <w:right w:val="none" w:sz="0" w:space="0" w:color="auto"/>
          </w:divBdr>
          <w:divsChild>
            <w:div w:id="1386487070">
              <w:marLeft w:val="0"/>
              <w:marRight w:val="0"/>
              <w:marTop w:val="0"/>
              <w:marBottom w:val="0"/>
              <w:divBdr>
                <w:top w:val="dotted" w:sz="6" w:space="0" w:color="808080"/>
                <w:left w:val="none" w:sz="0" w:space="0" w:color="auto"/>
                <w:bottom w:val="dotted" w:sz="6" w:space="0" w:color="808080"/>
                <w:right w:val="none" w:sz="0" w:space="0" w:color="auto"/>
              </w:divBdr>
            </w:div>
          </w:divsChild>
        </w:div>
        <w:div w:id="905804376">
          <w:marLeft w:val="0"/>
          <w:marRight w:val="0"/>
          <w:marTop w:val="0"/>
          <w:marBottom w:val="0"/>
          <w:divBdr>
            <w:top w:val="none" w:sz="0" w:space="0" w:color="auto"/>
            <w:left w:val="none" w:sz="0" w:space="0" w:color="auto"/>
            <w:bottom w:val="none" w:sz="0" w:space="0" w:color="auto"/>
            <w:right w:val="none" w:sz="0" w:space="0" w:color="auto"/>
          </w:divBdr>
          <w:divsChild>
            <w:div w:id="495071263">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885993579">
      <w:bodyDiv w:val="1"/>
      <w:marLeft w:val="0"/>
      <w:marRight w:val="0"/>
      <w:marTop w:val="0"/>
      <w:marBottom w:val="0"/>
      <w:divBdr>
        <w:top w:val="none" w:sz="0" w:space="0" w:color="auto"/>
        <w:left w:val="none" w:sz="0" w:space="0" w:color="auto"/>
        <w:bottom w:val="none" w:sz="0" w:space="0" w:color="auto"/>
        <w:right w:val="none" w:sz="0" w:space="0" w:color="auto"/>
      </w:divBdr>
      <w:divsChild>
        <w:div w:id="755710831">
          <w:marLeft w:val="0"/>
          <w:marRight w:val="0"/>
          <w:marTop w:val="225"/>
          <w:marBottom w:val="150"/>
          <w:divBdr>
            <w:top w:val="none" w:sz="0" w:space="0" w:color="auto"/>
            <w:left w:val="none" w:sz="0" w:space="0" w:color="auto"/>
            <w:bottom w:val="none" w:sz="0" w:space="0" w:color="auto"/>
            <w:right w:val="none" w:sz="0" w:space="0" w:color="auto"/>
          </w:divBdr>
        </w:div>
      </w:divsChild>
    </w:div>
    <w:div w:id="893082270">
      <w:bodyDiv w:val="1"/>
      <w:marLeft w:val="0"/>
      <w:marRight w:val="0"/>
      <w:marTop w:val="0"/>
      <w:marBottom w:val="0"/>
      <w:divBdr>
        <w:top w:val="none" w:sz="0" w:space="0" w:color="auto"/>
        <w:left w:val="none" w:sz="0" w:space="0" w:color="auto"/>
        <w:bottom w:val="none" w:sz="0" w:space="0" w:color="auto"/>
        <w:right w:val="none" w:sz="0" w:space="0" w:color="auto"/>
      </w:divBdr>
      <w:divsChild>
        <w:div w:id="565720360">
          <w:marLeft w:val="0"/>
          <w:marRight w:val="0"/>
          <w:marTop w:val="0"/>
          <w:marBottom w:val="0"/>
          <w:divBdr>
            <w:top w:val="none" w:sz="0" w:space="0" w:color="auto"/>
            <w:left w:val="none" w:sz="0" w:space="0" w:color="auto"/>
            <w:bottom w:val="none" w:sz="0" w:space="0" w:color="auto"/>
            <w:right w:val="none" w:sz="0" w:space="0" w:color="auto"/>
          </w:divBdr>
          <w:divsChild>
            <w:div w:id="1362054404">
              <w:marLeft w:val="0"/>
              <w:marRight w:val="0"/>
              <w:marTop w:val="150"/>
              <w:marBottom w:val="150"/>
              <w:divBdr>
                <w:top w:val="none" w:sz="0" w:space="0" w:color="auto"/>
                <w:left w:val="none" w:sz="0" w:space="0" w:color="auto"/>
                <w:bottom w:val="none" w:sz="0" w:space="0" w:color="auto"/>
                <w:right w:val="none" w:sz="0" w:space="0" w:color="auto"/>
              </w:divBdr>
            </w:div>
          </w:divsChild>
        </w:div>
        <w:div w:id="1506171074">
          <w:marLeft w:val="0"/>
          <w:marRight w:val="0"/>
          <w:marTop w:val="0"/>
          <w:marBottom w:val="0"/>
          <w:divBdr>
            <w:top w:val="none" w:sz="0" w:space="0" w:color="auto"/>
            <w:left w:val="none" w:sz="0" w:space="0" w:color="auto"/>
            <w:bottom w:val="none" w:sz="0" w:space="0" w:color="auto"/>
            <w:right w:val="none" w:sz="0" w:space="0" w:color="auto"/>
          </w:divBdr>
        </w:div>
      </w:divsChild>
    </w:div>
    <w:div w:id="902760432">
      <w:bodyDiv w:val="1"/>
      <w:marLeft w:val="0"/>
      <w:marRight w:val="0"/>
      <w:marTop w:val="0"/>
      <w:marBottom w:val="0"/>
      <w:divBdr>
        <w:top w:val="none" w:sz="0" w:space="0" w:color="auto"/>
        <w:left w:val="none" w:sz="0" w:space="0" w:color="auto"/>
        <w:bottom w:val="none" w:sz="0" w:space="0" w:color="auto"/>
        <w:right w:val="none" w:sz="0" w:space="0" w:color="auto"/>
      </w:divBdr>
    </w:div>
    <w:div w:id="1057779646">
      <w:bodyDiv w:val="1"/>
      <w:marLeft w:val="0"/>
      <w:marRight w:val="0"/>
      <w:marTop w:val="0"/>
      <w:marBottom w:val="0"/>
      <w:divBdr>
        <w:top w:val="none" w:sz="0" w:space="0" w:color="auto"/>
        <w:left w:val="none" w:sz="0" w:space="0" w:color="auto"/>
        <w:bottom w:val="none" w:sz="0" w:space="0" w:color="auto"/>
        <w:right w:val="none" w:sz="0" w:space="0" w:color="auto"/>
      </w:divBdr>
    </w:div>
    <w:div w:id="1191724978">
      <w:bodyDiv w:val="1"/>
      <w:marLeft w:val="0"/>
      <w:marRight w:val="0"/>
      <w:marTop w:val="0"/>
      <w:marBottom w:val="0"/>
      <w:divBdr>
        <w:top w:val="none" w:sz="0" w:space="0" w:color="auto"/>
        <w:left w:val="none" w:sz="0" w:space="0" w:color="auto"/>
        <w:bottom w:val="none" w:sz="0" w:space="0" w:color="auto"/>
        <w:right w:val="none" w:sz="0" w:space="0" w:color="auto"/>
      </w:divBdr>
    </w:div>
    <w:div w:id="1400639688">
      <w:bodyDiv w:val="1"/>
      <w:marLeft w:val="0"/>
      <w:marRight w:val="0"/>
      <w:marTop w:val="0"/>
      <w:marBottom w:val="0"/>
      <w:divBdr>
        <w:top w:val="none" w:sz="0" w:space="0" w:color="auto"/>
        <w:left w:val="none" w:sz="0" w:space="0" w:color="auto"/>
        <w:bottom w:val="none" w:sz="0" w:space="0" w:color="auto"/>
        <w:right w:val="none" w:sz="0" w:space="0" w:color="auto"/>
      </w:divBdr>
    </w:div>
    <w:div w:id="1556770087">
      <w:bodyDiv w:val="1"/>
      <w:marLeft w:val="0"/>
      <w:marRight w:val="0"/>
      <w:marTop w:val="0"/>
      <w:marBottom w:val="0"/>
      <w:divBdr>
        <w:top w:val="none" w:sz="0" w:space="0" w:color="auto"/>
        <w:left w:val="none" w:sz="0" w:space="0" w:color="auto"/>
        <w:bottom w:val="none" w:sz="0" w:space="0" w:color="auto"/>
        <w:right w:val="none" w:sz="0" w:space="0" w:color="auto"/>
      </w:divBdr>
      <w:divsChild>
        <w:div w:id="1409500599">
          <w:marLeft w:val="0"/>
          <w:marRight w:val="0"/>
          <w:marTop w:val="225"/>
          <w:marBottom w:val="150"/>
          <w:divBdr>
            <w:top w:val="none" w:sz="0" w:space="0" w:color="auto"/>
            <w:left w:val="none" w:sz="0" w:space="0" w:color="auto"/>
            <w:bottom w:val="none" w:sz="0" w:space="0" w:color="auto"/>
            <w:right w:val="none" w:sz="0" w:space="0" w:color="auto"/>
          </w:divBdr>
        </w:div>
        <w:div w:id="147674027">
          <w:marLeft w:val="375"/>
          <w:marRight w:val="375"/>
          <w:marTop w:val="150"/>
          <w:marBottom w:val="150"/>
          <w:divBdr>
            <w:top w:val="none" w:sz="0" w:space="0" w:color="auto"/>
            <w:left w:val="none" w:sz="0" w:space="0" w:color="auto"/>
            <w:bottom w:val="none" w:sz="0" w:space="0" w:color="auto"/>
            <w:right w:val="none" w:sz="0" w:space="0" w:color="auto"/>
          </w:divBdr>
        </w:div>
      </w:divsChild>
    </w:div>
    <w:div w:id="1694378183">
      <w:bodyDiv w:val="1"/>
      <w:marLeft w:val="0"/>
      <w:marRight w:val="0"/>
      <w:marTop w:val="0"/>
      <w:marBottom w:val="0"/>
      <w:divBdr>
        <w:top w:val="none" w:sz="0" w:space="0" w:color="auto"/>
        <w:left w:val="none" w:sz="0" w:space="0" w:color="auto"/>
        <w:bottom w:val="none" w:sz="0" w:space="0" w:color="auto"/>
        <w:right w:val="none" w:sz="0" w:space="0" w:color="auto"/>
      </w:divBdr>
      <w:divsChild>
        <w:div w:id="448815526">
          <w:marLeft w:val="0"/>
          <w:marRight w:val="0"/>
          <w:marTop w:val="0"/>
          <w:marBottom w:val="0"/>
          <w:divBdr>
            <w:top w:val="none" w:sz="0" w:space="0" w:color="auto"/>
            <w:left w:val="none" w:sz="0" w:space="0" w:color="auto"/>
            <w:bottom w:val="none" w:sz="0" w:space="0" w:color="auto"/>
            <w:right w:val="none" w:sz="0" w:space="0" w:color="auto"/>
          </w:divBdr>
          <w:divsChild>
            <w:div w:id="1063331033">
              <w:marLeft w:val="0"/>
              <w:marRight w:val="0"/>
              <w:marTop w:val="150"/>
              <w:marBottom w:val="150"/>
              <w:divBdr>
                <w:top w:val="none" w:sz="0" w:space="0" w:color="auto"/>
                <w:left w:val="none" w:sz="0" w:space="0" w:color="auto"/>
                <w:bottom w:val="none" w:sz="0" w:space="0" w:color="auto"/>
                <w:right w:val="none" w:sz="0" w:space="0" w:color="auto"/>
              </w:divBdr>
            </w:div>
          </w:divsChild>
        </w:div>
        <w:div w:id="690032894">
          <w:marLeft w:val="0"/>
          <w:marRight w:val="0"/>
          <w:marTop w:val="0"/>
          <w:marBottom w:val="0"/>
          <w:divBdr>
            <w:top w:val="none" w:sz="0" w:space="0" w:color="auto"/>
            <w:left w:val="none" w:sz="0" w:space="0" w:color="auto"/>
            <w:bottom w:val="none" w:sz="0" w:space="0" w:color="auto"/>
            <w:right w:val="none" w:sz="0" w:space="0" w:color="auto"/>
          </w:divBdr>
          <w:divsChild>
            <w:div w:id="1094781693">
              <w:marLeft w:val="0"/>
              <w:marRight w:val="0"/>
              <w:marTop w:val="0"/>
              <w:marBottom w:val="0"/>
              <w:divBdr>
                <w:top w:val="none" w:sz="0" w:space="0" w:color="auto"/>
                <w:left w:val="none" w:sz="0" w:space="0" w:color="auto"/>
                <w:bottom w:val="none" w:sz="0" w:space="0" w:color="auto"/>
                <w:right w:val="none" w:sz="0" w:space="0" w:color="auto"/>
              </w:divBdr>
              <w:divsChild>
                <w:div w:id="864178180">
                  <w:marLeft w:val="0"/>
                  <w:marRight w:val="0"/>
                  <w:marTop w:val="0"/>
                  <w:marBottom w:val="0"/>
                  <w:divBdr>
                    <w:top w:val="dotted" w:sz="6" w:space="0" w:color="808080"/>
                    <w:left w:val="none" w:sz="0" w:space="0" w:color="auto"/>
                    <w:bottom w:val="dotted" w:sz="6" w:space="0" w:color="808080"/>
                    <w:right w:val="none" w:sz="0" w:space="0" w:color="auto"/>
                  </w:divBdr>
                </w:div>
              </w:divsChild>
            </w:div>
          </w:divsChild>
        </w:div>
      </w:divsChild>
    </w:div>
    <w:div w:id="1945648621">
      <w:bodyDiv w:val="1"/>
      <w:marLeft w:val="0"/>
      <w:marRight w:val="0"/>
      <w:marTop w:val="0"/>
      <w:marBottom w:val="0"/>
      <w:divBdr>
        <w:top w:val="none" w:sz="0" w:space="0" w:color="auto"/>
        <w:left w:val="none" w:sz="0" w:space="0" w:color="auto"/>
        <w:bottom w:val="none" w:sz="0" w:space="0" w:color="auto"/>
        <w:right w:val="none" w:sz="0" w:space="0" w:color="auto"/>
      </w:divBdr>
      <w:divsChild>
        <w:div w:id="1135831190">
          <w:marLeft w:val="0"/>
          <w:marRight w:val="0"/>
          <w:marTop w:val="0"/>
          <w:marBottom w:val="0"/>
          <w:divBdr>
            <w:top w:val="none" w:sz="0" w:space="0" w:color="auto"/>
            <w:left w:val="none" w:sz="0" w:space="0" w:color="auto"/>
            <w:bottom w:val="none" w:sz="0" w:space="0" w:color="auto"/>
            <w:right w:val="none" w:sz="0" w:space="0" w:color="auto"/>
          </w:divBdr>
          <w:divsChild>
            <w:div w:id="1828670007">
              <w:marLeft w:val="0"/>
              <w:marRight w:val="0"/>
              <w:marTop w:val="150"/>
              <w:marBottom w:val="150"/>
              <w:divBdr>
                <w:top w:val="none" w:sz="0" w:space="0" w:color="auto"/>
                <w:left w:val="none" w:sz="0" w:space="0" w:color="auto"/>
                <w:bottom w:val="none" w:sz="0" w:space="0" w:color="auto"/>
                <w:right w:val="none" w:sz="0" w:space="0" w:color="auto"/>
              </w:divBdr>
            </w:div>
          </w:divsChild>
        </w:div>
        <w:div w:id="1911501644">
          <w:marLeft w:val="0"/>
          <w:marRight w:val="0"/>
          <w:marTop w:val="0"/>
          <w:marBottom w:val="0"/>
          <w:divBdr>
            <w:top w:val="none" w:sz="0" w:space="0" w:color="auto"/>
            <w:left w:val="none" w:sz="0" w:space="0" w:color="auto"/>
            <w:bottom w:val="none" w:sz="0" w:space="0" w:color="auto"/>
            <w:right w:val="none" w:sz="0" w:space="0" w:color="auto"/>
          </w:divBdr>
        </w:div>
      </w:divsChild>
    </w:div>
    <w:div w:id="198110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C86F9-53A0-493B-BEC2-E3AA6A64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2970</Words>
  <Characters>16932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Continuous Problem</vt:lpstr>
    </vt:vector>
  </TitlesOfParts>
  <Company>University of Missouri-Columbia</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Problem</dc:title>
  <dc:creator>Authors</dc:creator>
  <cp:lastModifiedBy>Christy Lynch Chauvin</cp:lastModifiedBy>
  <cp:revision>2</cp:revision>
  <cp:lastPrinted>2017-07-08T18:24:00Z</cp:lastPrinted>
  <dcterms:created xsi:type="dcterms:W3CDTF">2018-07-11T23:43:00Z</dcterms:created>
  <dcterms:modified xsi:type="dcterms:W3CDTF">2018-07-11T23:43:00Z</dcterms:modified>
</cp:coreProperties>
</file>